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rPr>
          <w:rFonts w:hint="eastAsia" w:ascii="黑体" w:hAnsi="宋体" w:eastAsia="黑体" w:cs="宋体"/>
          <w:kern w:val="0"/>
          <w:sz w:val="36"/>
          <w:szCs w:val="36"/>
        </w:rPr>
      </w:pPr>
    </w:p>
    <w:p>
      <w:pPr>
        <w:widowControl/>
        <w:rPr>
          <w:rFonts w:hint="eastAsia" w:eastAsia="黑体"/>
          <w:kern w:val="0"/>
          <w:sz w:val="36"/>
          <w:szCs w:val="36"/>
        </w:rPr>
      </w:pPr>
    </w:p>
    <w:p>
      <w:pPr>
        <w:keepNext w:val="0"/>
        <w:keepLines w:val="0"/>
        <w:pageBreakBefore w:val="0"/>
        <w:widowControl w:val="0"/>
        <w:tabs>
          <w:tab w:val="left" w:pos="7560"/>
        </w:tabs>
        <w:kinsoku/>
        <w:wordWrap/>
        <w:overflowPunct/>
        <w:topLinePunct w:val="0"/>
        <w:autoSpaceDE/>
        <w:autoSpaceDN/>
        <w:bidi w:val="0"/>
        <w:adjustRightInd/>
        <w:snapToGrid/>
        <w:spacing w:line="700" w:lineRule="exact"/>
        <w:jc w:val="center"/>
        <w:textAlignment w:val="auto"/>
        <w:rPr>
          <w:rFonts w:hint="eastAsia" w:ascii="Nimbus Roman No9 L" w:hAnsi="Nimbus Roman No9 L" w:eastAsia="方正小标宋简体" w:cs="Nimbus Roman No9 L"/>
          <w:bCs/>
          <w:color w:val="auto"/>
          <w:kern w:val="0"/>
          <w:sz w:val="44"/>
          <w:szCs w:val="44"/>
          <w:highlight w:val="none"/>
          <w:lang w:eastAsia="zh-CN"/>
        </w:rPr>
      </w:pPr>
      <w:r>
        <w:rPr>
          <w:rFonts w:hint="eastAsia" w:ascii="Nimbus Roman No9 L" w:hAnsi="Nimbus Roman No9 L" w:eastAsia="方正小标宋简体" w:cs="Nimbus Roman No9 L"/>
          <w:bCs/>
          <w:color w:val="auto"/>
          <w:kern w:val="0"/>
          <w:sz w:val="44"/>
          <w:szCs w:val="44"/>
          <w:highlight w:val="none"/>
          <w:lang w:val="en-US" w:eastAsia="zh-CN"/>
        </w:rPr>
        <w:t>亳州市财政局</w:t>
      </w:r>
      <w:r>
        <w:rPr>
          <w:rFonts w:hint="default" w:ascii="Nimbus Roman No9 L" w:hAnsi="Nimbus Roman No9 L" w:eastAsia="方正小标宋简体" w:cs="Nimbus Roman No9 L"/>
          <w:bCs/>
          <w:color w:val="auto"/>
          <w:kern w:val="0"/>
          <w:sz w:val="44"/>
          <w:szCs w:val="44"/>
          <w:highlight w:val="none"/>
          <w:lang w:val="en-US" w:eastAsia="zh-CN"/>
        </w:rPr>
        <w:t>关于印发《</w:t>
      </w:r>
      <w:r>
        <w:rPr>
          <w:rFonts w:hint="eastAsia" w:ascii="Nimbus Roman No9 L" w:hAnsi="Nimbus Roman No9 L" w:eastAsia="方正小标宋简体" w:cs="Nimbus Roman No9 L"/>
          <w:bCs/>
          <w:color w:val="auto"/>
          <w:kern w:val="0"/>
          <w:sz w:val="44"/>
          <w:szCs w:val="44"/>
          <w:highlight w:val="none"/>
          <w:lang w:val="en-US" w:eastAsia="zh-CN"/>
        </w:rPr>
        <w:t>亳州市</w:t>
      </w:r>
      <w:r>
        <w:rPr>
          <w:rFonts w:hint="default" w:ascii="Nimbus Roman No9 L" w:hAnsi="Nimbus Roman No9 L" w:eastAsia="方正小标宋简体" w:cs="Nimbus Roman No9 L"/>
          <w:bCs/>
          <w:color w:val="auto"/>
          <w:kern w:val="0"/>
          <w:sz w:val="44"/>
          <w:szCs w:val="44"/>
          <w:highlight w:val="none"/>
          <w:lang w:eastAsia="zh-CN"/>
        </w:rPr>
        <w:t>市级</w:t>
      </w:r>
      <w:r>
        <w:rPr>
          <w:rFonts w:hint="eastAsia" w:ascii="Nimbus Roman No9 L" w:hAnsi="Nimbus Roman No9 L" w:eastAsia="方正小标宋简体" w:cs="Nimbus Roman No9 L"/>
          <w:bCs/>
          <w:color w:val="auto"/>
          <w:kern w:val="0"/>
          <w:sz w:val="44"/>
          <w:szCs w:val="44"/>
          <w:highlight w:val="none"/>
          <w:lang w:eastAsia="zh-CN"/>
        </w:rPr>
        <w:t>预算执行</w:t>
      </w:r>
    </w:p>
    <w:p>
      <w:pPr>
        <w:keepNext w:val="0"/>
        <w:keepLines w:val="0"/>
        <w:pageBreakBefore w:val="0"/>
        <w:widowControl w:val="0"/>
        <w:tabs>
          <w:tab w:val="left" w:pos="7560"/>
        </w:tabs>
        <w:kinsoku/>
        <w:wordWrap/>
        <w:overflowPunct/>
        <w:topLinePunct w:val="0"/>
        <w:autoSpaceDE/>
        <w:autoSpaceDN/>
        <w:bidi w:val="0"/>
        <w:adjustRightInd/>
        <w:snapToGrid/>
        <w:spacing w:line="700" w:lineRule="exact"/>
        <w:jc w:val="center"/>
        <w:textAlignment w:val="auto"/>
        <w:rPr>
          <w:rFonts w:hint="default" w:ascii="Nimbus Roman No9 L" w:hAnsi="Nimbus Roman No9 L" w:eastAsia="方正小标宋简体" w:cs="Nimbus Roman No9 L"/>
          <w:bCs/>
          <w:color w:val="auto"/>
          <w:kern w:val="0"/>
          <w:sz w:val="44"/>
          <w:szCs w:val="44"/>
          <w:highlight w:val="none"/>
          <w:lang w:val="en-US" w:eastAsia="zh-CN"/>
        </w:rPr>
      </w:pPr>
      <w:r>
        <w:rPr>
          <w:rFonts w:hint="eastAsia" w:ascii="Nimbus Roman No9 L" w:hAnsi="Nimbus Roman No9 L" w:eastAsia="方正小标宋简体" w:cs="Nimbus Roman No9 L"/>
          <w:bCs/>
          <w:color w:val="auto"/>
          <w:kern w:val="0"/>
          <w:sz w:val="44"/>
          <w:szCs w:val="44"/>
          <w:highlight w:val="none"/>
          <w:lang w:eastAsia="zh-CN"/>
        </w:rPr>
        <w:t>监管暂行办法</w:t>
      </w:r>
      <w:r>
        <w:rPr>
          <w:rFonts w:hint="default" w:ascii="Nimbus Roman No9 L" w:hAnsi="Nimbus Roman No9 L" w:eastAsia="方正小标宋简体" w:cs="Nimbus Roman No9 L"/>
          <w:bCs/>
          <w:color w:val="auto"/>
          <w:kern w:val="0"/>
          <w:sz w:val="44"/>
          <w:szCs w:val="44"/>
          <w:highlight w:val="none"/>
          <w:lang w:val="en-US" w:eastAsia="zh-CN"/>
        </w:rPr>
        <w:t>》的通知</w:t>
      </w:r>
    </w:p>
    <w:p>
      <w:pPr>
        <w:pStyle w:val="2"/>
        <w:rPr>
          <w:rFonts w:hint="default"/>
          <w:lang w:val="en-US" w:eastAsia="zh-CN"/>
        </w:rPr>
      </w:pPr>
    </w:p>
    <w:p>
      <w:pPr>
        <w:widowControl/>
        <w:tabs>
          <w:tab w:val="left" w:pos="364"/>
          <w:tab w:val="left" w:pos="7920"/>
          <w:tab w:val="left" w:pos="8100"/>
          <w:tab w:val="left" w:pos="8280"/>
          <w:tab w:val="left" w:pos="8460"/>
          <w:tab w:val="left" w:pos="8567"/>
        </w:tabs>
        <w:jc w:val="center"/>
        <w:rPr>
          <w:rFonts w:hint="eastAsia" w:eastAsia="黑体"/>
          <w:kern w:val="0"/>
          <w:sz w:val="36"/>
          <w:szCs w:val="36"/>
        </w:rPr>
      </w:pPr>
      <w:r>
        <w:rPr>
          <w:rFonts w:hint="eastAsia" w:eastAsia="仿宋_GB2312"/>
          <w:kern w:val="0"/>
          <w:sz w:val="32"/>
          <w:szCs w:val="32"/>
        </w:rPr>
        <w:t>亳</w:t>
      </w:r>
      <w:r>
        <w:rPr>
          <w:rFonts w:eastAsia="仿宋_GB2312"/>
          <w:kern w:val="0"/>
          <w:sz w:val="32"/>
          <w:szCs w:val="32"/>
        </w:rPr>
        <w:t>财</w:t>
      </w:r>
      <w:r>
        <w:rPr>
          <w:rFonts w:hint="eastAsia" w:eastAsia="仿宋_GB2312"/>
          <w:kern w:val="0"/>
          <w:sz w:val="32"/>
          <w:szCs w:val="32"/>
          <w:lang w:eastAsia="zh-CN"/>
        </w:rPr>
        <w:t>办</w:t>
      </w:r>
      <w:r>
        <w:rPr>
          <w:rFonts w:eastAsia="仿宋_GB2312"/>
          <w:kern w:val="0"/>
          <w:sz w:val="32"/>
          <w:szCs w:val="32"/>
        </w:rPr>
        <w:t>〔20</w:t>
      </w:r>
      <w:r>
        <w:rPr>
          <w:rFonts w:hint="eastAsia" w:eastAsia="仿宋_GB2312"/>
          <w:kern w:val="0"/>
          <w:sz w:val="32"/>
          <w:szCs w:val="32"/>
        </w:rPr>
        <w:t>2</w:t>
      </w:r>
      <w:r>
        <w:rPr>
          <w:rFonts w:hint="eastAsia" w:eastAsia="仿宋_GB2312"/>
          <w:kern w:val="0"/>
          <w:sz w:val="32"/>
          <w:szCs w:val="32"/>
          <w:lang w:val="en-US" w:eastAsia="zh-CN"/>
        </w:rPr>
        <w:t>6</w:t>
      </w:r>
      <w:r>
        <w:rPr>
          <w:rFonts w:eastAsia="仿宋_GB2312"/>
          <w:kern w:val="0"/>
          <w:sz w:val="32"/>
          <w:szCs w:val="32"/>
        </w:rPr>
        <w:t>〕</w:t>
      </w:r>
      <w:r>
        <w:rPr>
          <w:rFonts w:hint="eastAsia" w:eastAsia="仿宋_GB2312"/>
          <w:kern w:val="0"/>
          <w:sz w:val="32"/>
          <w:szCs w:val="32"/>
          <w:lang w:val="en-US" w:eastAsia="zh-CN"/>
        </w:rPr>
        <w:t>16</w:t>
      </w:r>
      <w:r>
        <w:rPr>
          <w:rFonts w:eastAsia="仿宋_GB2312"/>
          <w:kern w:val="0"/>
          <w:sz w:val="32"/>
          <w:szCs w:val="32"/>
        </w:rPr>
        <w:t>号</w:t>
      </w:r>
    </w:p>
    <w:p>
      <w:pPr>
        <w:keepNext w:val="0"/>
        <w:keepLines w:val="0"/>
        <w:pageBreakBefore w:val="0"/>
        <w:widowControl w:val="0"/>
        <w:tabs>
          <w:tab w:val="left" w:pos="7560"/>
        </w:tabs>
        <w:kinsoku/>
        <w:wordWrap/>
        <w:overflowPunct/>
        <w:topLinePunct w:val="0"/>
        <w:autoSpaceDE/>
        <w:autoSpaceDN/>
        <w:bidi w:val="0"/>
        <w:adjustRightInd/>
        <w:snapToGrid/>
        <w:spacing w:line="600" w:lineRule="exact"/>
        <w:jc w:val="center"/>
        <w:textAlignment w:val="auto"/>
        <w:rPr>
          <w:rFonts w:hint="default" w:ascii="Nimbus Roman No9 L" w:hAnsi="Nimbus Roman No9 L" w:eastAsia="方正黑体_GBK" w:cs="Nimbus Roman No9 L"/>
          <w:bCs/>
          <w:color w:val="auto"/>
          <w:kern w:val="0"/>
          <w:sz w:val="44"/>
          <w:szCs w:val="44"/>
          <w:highlight w:val="none"/>
          <w:lang w:eastAsia="zh-CN"/>
        </w:rPr>
      </w:pPr>
    </w:p>
    <w:p>
      <w:pPr>
        <w:keepNext w:val="0"/>
        <w:keepLines w:val="0"/>
        <w:pageBreakBefore w:val="0"/>
        <w:widowControl w:val="0"/>
        <w:tabs>
          <w:tab w:val="left" w:pos="7560"/>
        </w:tabs>
        <w:kinsoku/>
        <w:wordWrap/>
        <w:overflowPunct/>
        <w:topLinePunct w:val="0"/>
        <w:autoSpaceDE/>
        <w:autoSpaceDN/>
        <w:bidi w:val="0"/>
        <w:adjustRightInd/>
        <w:snapToGrid/>
        <w:spacing w:line="580" w:lineRule="exact"/>
        <w:jc w:val="both"/>
        <w:textAlignment w:val="auto"/>
        <w:rPr>
          <w:rFonts w:hint="eastAsia" w:ascii="方正仿宋_GBK" w:hAnsi="方正仿宋_GBK" w:eastAsia="方正仿宋_GBK" w:cs="方正仿宋_GBK"/>
          <w:bCs/>
          <w:color w:val="auto"/>
          <w:kern w:val="0"/>
          <w:sz w:val="32"/>
          <w:szCs w:val="32"/>
          <w:highlight w:val="none"/>
          <w:lang w:eastAsia="zh-CN"/>
        </w:rPr>
      </w:pPr>
      <w:r>
        <w:rPr>
          <w:rFonts w:hint="eastAsia" w:ascii="方正仿宋_GBK" w:hAnsi="方正仿宋_GBK" w:eastAsia="方正仿宋_GBK" w:cs="方正仿宋_GBK"/>
          <w:bCs/>
          <w:color w:val="auto"/>
          <w:kern w:val="0"/>
          <w:sz w:val="32"/>
          <w:szCs w:val="32"/>
          <w:highlight w:val="none"/>
          <w:lang w:eastAsia="zh-CN"/>
        </w:rPr>
        <w:t>市直各预算部门、单位，局相关科室、局属单位：</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为加强预算执行日常监管，健全财会监督体系，强化财经纪律约束，服务财政科学管理，根据《中华人民共和国预算法》《党政机关厉行节约反对浪费条例》等法律法规和财政管理制度，参照省级监管办法，结合我市实际，我们制定了《亳州市市级预算执行监管暂行办法》，</w:t>
      </w:r>
      <w:r>
        <w:rPr>
          <w:rStyle w:val="16"/>
          <w:rFonts w:hint="eastAsia" w:ascii="Nimbus Roman No9 L" w:hAnsi="Nimbus Roman No9 L" w:eastAsia="方正仿宋_GBK" w:cs="Nimbus Roman No9 L"/>
          <w:color w:val="auto"/>
          <w:kern w:val="2"/>
          <w:sz w:val="32"/>
          <w:szCs w:val="32"/>
          <w:highlight w:val="none"/>
          <w:lang w:val="en-US" w:eastAsia="zh-CN" w:bidi="ar-SA"/>
        </w:rPr>
        <w:t>现印发给你们，请遵照执行。如有变动，适时修订。</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p>
    <w:p>
      <w:pPr>
        <w:keepNext w:val="0"/>
        <w:keepLines w:val="0"/>
        <w:pageBreakBefore w:val="0"/>
        <w:widowControl w:val="0"/>
        <w:tabs>
          <w:tab w:val="left" w:pos="7560"/>
        </w:tabs>
        <w:kinsoku/>
        <w:wordWrap/>
        <w:overflowPunct/>
        <w:topLinePunct w:val="0"/>
        <w:autoSpaceDE/>
        <w:autoSpaceDN/>
        <w:bidi w:val="0"/>
        <w:adjustRightInd/>
        <w:snapToGrid/>
        <w:spacing w:line="580" w:lineRule="exact"/>
        <w:jc w:val="center"/>
        <w:textAlignment w:val="auto"/>
        <w:rPr>
          <w:rFonts w:hint="default" w:ascii="Nimbus Roman No9 L" w:hAnsi="Nimbus Roman No9 L" w:eastAsia="方正仿宋_GBK" w:cs="Nimbus Roman No9 L"/>
          <w:bCs/>
          <w:color w:val="auto"/>
          <w:kern w:val="0"/>
          <w:sz w:val="32"/>
          <w:szCs w:val="32"/>
          <w:highlight w:val="none"/>
          <w:lang w:val="en-US" w:eastAsia="zh-CN"/>
        </w:rPr>
      </w:pPr>
      <w:r>
        <w:rPr>
          <w:rFonts w:hint="eastAsia" w:ascii="Nimbus Roman No9 L" w:hAnsi="Nimbus Roman No9 L" w:eastAsia="方正仿宋_GBK" w:cs="Nimbus Roman No9 L"/>
          <w:bCs/>
          <w:color w:val="auto"/>
          <w:kern w:val="0"/>
          <w:sz w:val="32"/>
          <w:szCs w:val="32"/>
          <w:highlight w:val="none"/>
          <w:lang w:val="en-US" w:eastAsia="zh-CN"/>
        </w:rPr>
        <w:t xml:space="preserve">                        </w:t>
      </w:r>
      <w:r>
        <w:rPr>
          <w:rFonts w:hint="default" w:ascii="Nimbus Roman No9 L" w:hAnsi="Nimbus Roman No9 L" w:eastAsia="方正仿宋_GBK" w:cs="Nimbus Roman No9 L"/>
          <w:bCs/>
          <w:color w:val="auto"/>
          <w:kern w:val="0"/>
          <w:sz w:val="32"/>
          <w:szCs w:val="32"/>
          <w:highlight w:val="none"/>
          <w:lang w:val="en-US" w:eastAsia="zh-CN"/>
        </w:rPr>
        <w:t>202</w:t>
      </w:r>
      <w:r>
        <w:rPr>
          <w:rFonts w:hint="eastAsia" w:ascii="Nimbus Roman No9 L" w:hAnsi="Nimbus Roman No9 L" w:eastAsia="方正仿宋_GBK" w:cs="Nimbus Roman No9 L"/>
          <w:bCs/>
          <w:color w:val="auto"/>
          <w:kern w:val="0"/>
          <w:sz w:val="32"/>
          <w:szCs w:val="32"/>
          <w:highlight w:val="none"/>
          <w:lang w:val="en-US" w:eastAsia="zh-CN"/>
        </w:rPr>
        <w:t>6</w:t>
      </w:r>
      <w:r>
        <w:rPr>
          <w:rFonts w:hint="default" w:ascii="Nimbus Roman No9 L" w:hAnsi="Nimbus Roman No9 L" w:eastAsia="方正仿宋_GBK" w:cs="Nimbus Roman No9 L"/>
          <w:bCs/>
          <w:color w:val="auto"/>
          <w:kern w:val="0"/>
          <w:sz w:val="32"/>
          <w:szCs w:val="32"/>
          <w:highlight w:val="none"/>
          <w:lang w:val="en-US" w:eastAsia="zh-CN"/>
        </w:rPr>
        <w:t>年</w:t>
      </w:r>
      <w:r>
        <w:rPr>
          <w:rFonts w:hint="eastAsia" w:ascii="Nimbus Roman No9 L" w:hAnsi="Nimbus Roman No9 L" w:eastAsia="方正仿宋_GBK" w:cs="Nimbus Roman No9 L"/>
          <w:bCs/>
          <w:color w:val="auto"/>
          <w:kern w:val="0"/>
          <w:sz w:val="32"/>
          <w:szCs w:val="32"/>
          <w:highlight w:val="none"/>
          <w:lang w:val="en-US" w:eastAsia="zh-CN"/>
        </w:rPr>
        <w:t>4</w:t>
      </w:r>
      <w:r>
        <w:rPr>
          <w:rFonts w:hint="default" w:ascii="Nimbus Roman No9 L" w:hAnsi="Nimbus Roman No9 L" w:eastAsia="方正仿宋_GBK" w:cs="Nimbus Roman No9 L"/>
          <w:bCs/>
          <w:color w:val="auto"/>
          <w:kern w:val="0"/>
          <w:sz w:val="32"/>
          <w:szCs w:val="32"/>
          <w:highlight w:val="none"/>
          <w:lang w:val="en-US" w:eastAsia="zh-CN"/>
        </w:rPr>
        <w:t>月</w:t>
      </w:r>
      <w:r>
        <w:rPr>
          <w:rFonts w:hint="eastAsia" w:ascii="Nimbus Roman No9 L" w:hAnsi="Nimbus Roman No9 L" w:eastAsia="方正仿宋_GBK" w:cs="Nimbus Roman No9 L"/>
          <w:bCs/>
          <w:color w:val="auto"/>
          <w:kern w:val="0"/>
          <w:sz w:val="32"/>
          <w:szCs w:val="32"/>
          <w:highlight w:val="none"/>
          <w:lang w:val="en-US" w:eastAsia="zh-CN"/>
        </w:rPr>
        <w:t>23</w:t>
      </w:r>
      <w:r>
        <w:rPr>
          <w:rFonts w:hint="default" w:ascii="Nimbus Roman No9 L" w:hAnsi="Nimbus Roman No9 L" w:eastAsia="方正仿宋_GBK" w:cs="Nimbus Roman No9 L"/>
          <w:bCs/>
          <w:color w:val="auto"/>
          <w:kern w:val="0"/>
          <w:sz w:val="32"/>
          <w:szCs w:val="32"/>
          <w:highlight w:val="none"/>
          <w:lang w:val="en-US" w:eastAsia="zh-CN"/>
        </w:rPr>
        <w:t>日</w:t>
      </w:r>
    </w:p>
    <w:p>
      <w:pPr>
        <w:pStyle w:val="2"/>
        <w:rPr>
          <w:rFonts w:hint="eastAsia"/>
          <w:lang w:val="en-US" w:eastAsia="zh-CN"/>
        </w:rPr>
      </w:pPr>
    </w:p>
    <w:p>
      <w:pPr>
        <w:keepNext w:val="0"/>
        <w:keepLines w:val="0"/>
        <w:pageBreakBefore w:val="0"/>
        <w:widowControl w:val="0"/>
        <w:tabs>
          <w:tab w:val="left" w:pos="7560"/>
        </w:tabs>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Cs/>
          <w:color w:val="auto"/>
          <w:kern w:val="0"/>
          <w:sz w:val="44"/>
          <w:szCs w:val="44"/>
          <w:highlight w:val="none"/>
          <w:lang w:eastAsia="zh-CN"/>
        </w:rPr>
      </w:pPr>
      <w:r>
        <w:rPr>
          <w:rFonts w:hint="eastAsia" w:ascii="方正小标宋简体" w:hAnsi="方正小标宋简体" w:eastAsia="方正小标宋简体" w:cs="方正小标宋简体"/>
          <w:bCs/>
          <w:color w:val="auto"/>
          <w:kern w:val="0"/>
          <w:sz w:val="44"/>
          <w:szCs w:val="44"/>
          <w:highlight w:val="none"/>
          <w:lang w:val="en-US" w:eastAsia="zh-CN"/>
        </w:rPr>
        <w:t>亳州市市级预算执行监管暂行办法</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_GBK" w:hAnsi="方正黑体_GBK" w:eastAsia="方正黑体_GBK" w:cs="方正黑体_GBK"/>
          <w:bCs/>
          <w:color w:val="auto"/>
          <w:kern w:val="0"/>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_GBK" w:hAnsi="方正黑体_GBK" w:eastAsia="方正黑体_GBK" w:cs="方正黑体_GBK"/>
          <w:bCs/>
          <w:color w:val="auto"/>
          <w:kern w:val="0"/>
          <w:sz w:val="32"/>
          <w:szCs w:val="32"/>
          <w:highlight w:val="none"/>
          <w:lang w:eastAsia="zh-CN"/>
        </w:rPr>
      </w:pPr>
      <w:r>
        <w:rPr>
          <w:rFonts w:hint="eastAsia" w:ascii="方正黑体_GBK" w:hAnsi="方正黑体_GBK" w:eastAsia="方正黑体_GBK" w:cs="方正黑体_GBK"/>
          <w:bCs/>
          <w:color w:val="auto"/>
          <w:kern w:val="0"/>
          <w:sz w:val="32"/>
          <w:szCs w:val="32"/>
          <w:highlight w:val="none"/>
          <w:lang w:eastAsia="zh-CN"/>
        </w:rPr>
        <w:t>第一章</w:t>
      </w:r>
      <w:r>
        <w:rPr>
          <w:rFonts w:hint="eastAsia" w:ascii="方正黑体_GBK" w:hAnsi="方正黑体_GBK" w:eastAsia="方正黑体_GBK" w:cs="方正黑体_GBK"/>
          <w:bCs/>
          <w:color w:val="auto"/>
          <w:kern w:val="0"/>
          <w:sz w:val="32"/>
          <w:szCs w:val="32"/>
          <w:highlight w:val="none"/>
          <w:lang w:val="en-US" w:eastAsia="zh-CN"/>
        </w:rPr>
        <w:t xml:space="preserve">  </w:t>
      </w:r>
      <w:r>
        <w:rPr>
          <w:rFonts w:hint="eastAsia" w:ascii="方正黑体_GBK" w:hAnsi="方正黑体_GBK" w:eastAsia="方正黑体_GBK" w:cs="方正黑体_GBK"/>
          <w:bCs/>
          <w:color w:val="auto"/>
          <w:kern w:val="0"/>
          <w:sz w:val="32"/>
          <w:szCs w:val="32"/>
          <w:highlight w:val="none"/>
          <w:lang w:eastAsia="zh-CN"/>
        </w:rPr>
        <w:t>总则</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
          <w:bCs w:val="0"/>
          <w:color w:val="auto"/>
          <w:kern w:val="0"/>
          <w:sz w:val="32"/>
          <w:szCs w:val="32"/>
          <w:highlight w:val="none"/>
          <w:lang w:eastAsia="zh-CN"/>
        </w:rPr>
      </w:pPr>
      <w:r>
        <w:rPr>
          <w:rFonts w:hint="eastAsia" w:ascii="方正仿宋_GBK" w:hAnsi="方正仿宋_GBK" w:eastAsia="方正仿宋_GBK" w:cs="方正仿宋_GBK"/>
          <w:b/>
          <w:bCs w:val="0"/>
          <w:color w:val="auto"/>
          <w:kern w:val="0"/>
          <w:sz w:val="32"/>
          <w:szCs w:val="32"/>
          <w:highlight w:val="none"/>
          <w:lang w:eastAsia="zh-CN"/>
        </w:rPr>
        <w:t>第一条</w:t>
      </w:r>
      <w:r>
        <w:rPr>
          <w:rFonts w:hint="eastAsia" w:ascii="方正仿宋_GBK" w:hAnsi="方正仿宋_GBK" w:eastAsia="方正仿宋_GBK" w:cs="方正仿宋_GBK"/>
          <w:bCs/>
          <w:color w:val="auto"/>
          <w:kern w:val="0"/>
          <w:sz w:val="32"/>
          <w:szCs w:val="32"/>
          <w:highlight w:val="none"/>
          <w:lang w:val="en-US" w:eastAsia="zh-CN"/>
        </w:rPr>
        <w:t xml:space="preserve">  为加强预算执行日常监管，健全财会监督体系，强化财经纪律约束，服务财政科学管理，根据《中华人民共和国预算法》《党政机关厉行节约反对浪费条例》等法律法规和财政管理制度，参照省级监管办法，结合我市实际，制定本办法。</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第二条</w:t>
      </w:r>
      <w:r>
        <w:rPr>
          <w:rFonts w:hint="eastAsia" w:ascii="方正仿宋_GBK" w:hAnsi="方正仿宋_GBK" w:eastAsia="方正仿宋_GBK" w:cs="方正仿宋_GBK"/>
          <w:bCs/>
          <w:color w:val="auto"/>
          <w:kern w:val="0"/>
          <w:sz w:val="32"/>
          <w:szCs w:val="32"/>
          <w:highlight w:val="none"/>
          <w:lang w:val="en-US" w:eastAsia="zh-CN"/>
        </w:rPr>
        <w:t xml:space="preserve">  本办法所称市</w:t>
      </w:r>
      <w:r>
        <w:rPr>
          <w:rFonts w:hint="default" w:ascii="方正仿宋_GBK" w:hAnsi="方正仿宋_GBK" w:eastAsia="方正仿宋_GBK" w:cs="方正仿宋_GBK"/>
          <w:bCs/>
          <w:color w:val="auto"/>
          <w:kern w:val="0"/>
          <w:sz w:val="32"/>
          <w:szCs w:val="32"/>
          <w:highlight w:val="none"/>
          <w:lang w:val="en-US" w:eastAsia="zh-CN"/>
        </w:rPr>
        <w:t>级</w:t>
      </w:r>
      <w:r>
        <w:rPr>
          <w:rFonts w:hint="eastAsia" w:ascii="方正仿宋_GBK" w:hAnsi="方正仿宋_GBK" w:eastAsia="方正仿宋_GBK" w:cs="方正仿宋_GBK"/>
          <w:bCs/>
          <w:color w:val="auto"/>
          <w:kern w:val="0"/>
          <w:sz w:val="32"/>
          <w:szCs w:val="32"/>
          <w:highlight w:val="none"/>
          <w:lang w:val="en-US" w:eastAsia="zh-CN"/>
        </w:rPr>
        <w:t>预算执行监管（以下简称预算执行监管），是以安徽省预算管理一体化系统（以下简称一体化系统）为依托，通过预算执行监控模块（以下简称监控模块），对财政资金的分配、计划申报、支付、使用等实施动态监管，促进提升财政资源配置效率和财政资金使用效益的管理活动。</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第三条</w:t>
      </w:r>
      <w:r>
        <w:rPr>
          <w:rFonts w:hint="eastAsia" w:ascii="方正仿宋_GBK" w:hAnsi="方正仿宋_GBK" w:eastAsia="方正仿宋_GBK" w:cs="方正仿宋_GBK"/>
          <w:bCs/>
          <w:color w:val="auto"/>
          <w:kern w:val="0"/>
          <w:sz w:val="32"/>
          <w:szCs w:val="32"/>
          <w:highlight w:val="none"/>
          <w:lang w:val="en-US" w:eastAsia="zh-CN"/>
        </w:rPr>
        <w:t xml:space="preserve">  预算执行监管工作遵循以下原则：</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（一）坚持问题导向。依托一体化系统监控模块，强化对日常预算执行过程中的违规问题实时预警、及时纠正，督促整改落实。围绕国家重大决策部署和市委市政府工作要求，对突出问题开展重点监督。</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（二）坚持协同联动。各相关预算部门和单位、市财政局相关科室和所属单位按照本办法明确的职责分工，各司其职，加强信息共享和监管互动，共同做好预算执行监管工作。</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（三）坚持闭环管理。加强预算执行监管结果运用，通过动态建立市级预警规则库并提级管控，杜绝违规问题反复出现，做到事前预警，推动完善预算管理和内部控制制度建设。</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_GBK" w:hAnsi="方正黑体_GBK" w:eastAsia="方正黑体_GBK" w:cs="方正黑体_GBK"/>
          <w:bCs/>
          <w:color w:val="auto"/>
          <w:kern w:val="0"/>
          <w:sz w:val="32"/>
          <w:szCs w:val="32"/>
          <w:highlight w:val="none"/>
          <w:lang w:eastAsia="zh-CN"/>
        </w:rPr>
      </w:pPr>
      <w:r>
        <w:rPr>
          <w:rFonts w:hint="eastAsia" w:ascii="方正黑体_GBK" w:hAnsi="方正黑体_GBK" w:eastAsia="方正黑体_GBK" w:cs="方正黑体_GBK"/>
          <w:bCs/>
          <w:color w:val="auto"/>
          <w:kern w:val="0"/>
          <w:sz w:val="32"/>
          <w:szCs w:val="32"/>
          <w:highlight w:val="none"/>
          <w:lang w:eastAsia="zh-CN"/>
        </w:rPr>
        <w:t>第二章</w:t>
      </w:r>
      <w:r>
        <w:rPr>
          <w:rFonts w:hint="eastAsia" w:ascii="方正黑体_GBK" w:hAnsi="方正黑体_GBK" w:eastAsia="方正黑体_GBK" w:cs="方正黑体_GBK"/>
          <w:bCs/>
          <w:color w:val="auto"/>
          <w:kern w:val="0"/>
          <w:sz w:val="32"/>
          <w:szCs w:val="32"/>
          <w:highlight w:val="none"/>
          <w:lang w:val="en-US" w:eastAsia="zh-CN"/>
        </w:rPr>
        <w:t xml:space="preserve">  </w:t>
      </w:r>
      <w:r>
        <w:rPr>
          <w:rFonts w:hint="eastAsia" w:ascii="方正黑体_GBK" w:hAnsi="方正黑体_GBK" w:eastAsia="方正黑体_GBK" w:cs="方正黑体_GBK"/>
          <w:bCs/>
          <w:color w:val="auto"/>
          <w:kern w:val="0"/>
          <w:sz w:val="32"/>
          <w:szCs w:val="32"/>
          <w:highlight w:val="none"/>
          <w:lang w:eastAsia="zh-CN"/>
        </w:rPr>
        <w:t>预算执行监管范围和内容</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 w:val="0"/>
          <w:bCs/>
          <w:color w:val="auto"/>
          <w:kern w:val="0"/>
          <w:sz w:val="32"/>
          <w:szCs w:val="32"/>
          <w:highlight w:val="none"/>
          <w:lang w:eastAsia="zh-CN"/>
        </w:rPr>
      </w:pPr>
      <w:r>
        <w:rPr>
          <w:rFonts w:hint="eastAsia" w:ascii="方正仿宋_GBK" w:hAnsi="方正仿宋_GBK" w:eastAsia="方正仿宋_GBK" w:cs="方正仿宋_GBK"/>
          <w:b/>
          <w:bCs w:val="0"/>
          <w:color w:val="auto"/>
          <w:kern w:val="0"/>
          <w:sz w:val="32"/>
          <w:szCs w:val="32"/>
          <w:highlight w:val="none"/>
          <w:lang w:eastAsia="zh-CN"/>
        </w:rPr>
        <w:t>第四条</w:t>
      </w:r>
      <w:r>
        <w:rPr>
          <w:rFonts w:hint="eastAsia" w:ascii="方正仿宋_GBK" w:hAnsi="方正仿宋_GBK" w:eastAsia="方正仿宋_GBK" w:cs="方正仿宋_GBK"/>
          <w:bCs/>
          <w:color w:val="auto"/>
          <w:kern w:val="0"/>
          <w:sz w:val="32"/>
          <w:szCs w:val="32"/>
          <w:highlight w:val="none"/>
          <w:lang w:val="en-US" w:eastAsia="zh-CN"/>
        </w:rPr>
        <w:t xml:space="preserve">  预算执行监管范围包括但不限于市级财力安排用于本级项目资金、</w:t>
      </w:r>
      <w:r>
        <w:rPr>
          <w:rFonts w:hint="eastAsia" w:ascii="方正仿宋_GBK" w:hAnsi="方正仿宋_GBK" w:eastAsia="方正仿宋_GBK" w:cs="方正仿宋_GBK"/>
          <w:b w:val="0"/>
          <w:bCs/>
          <w:color w:val="auto"/>
          <w:kern w:val="0"/>
          <w:sz w:val="32"/>
          <w:szCs w:val="32"/>
          <w:highlight w:val="none"/>
          <w:lang w:eastAsia="zh-CN"/>
        </w:rPr>
        <w:t>纳入财政代管资金专户管理的代管资金、</w:t>
      </w:r>
      <w:r>
        <w:rPr>
          <w:rFonts w:hint="eastAsia" w:ascii="方正仿宋_GBK" w:hAnsi="方正仿宋_GBK" w:eastAsia="方正仿宋_GBK" w:cs="方正仿宋_GBK"/>
          <w:bCs/>
          <w:color w:val="auto"/>
          <w:kern w:val="0"/>
          <w:sz w:val="32"/>
          <w:szCs w:val="32"/>
          <w:highlight w:val="none"/>
          <w:lang w:val="en-US" w:eastAsia="zh-CN"/>
        </w:rPr>
        <w:t>中央和省转移支付常态化监督项目清单列示的转移支付资金、</w:t>
      </w:r>
      <w:r>
        <w:rPr>
          <w:rFonts w:hint="eastAsia" w:ascii="方正仿宋_GBK" w:hAnsi="方正仿宋_GBK" w:eastAsia="方正仿宋_GBK" w:cs="方正仿宋_GBK"/>
          <w:b w:val="0"/>
          <w:bCs/>
          <w:color w:val="auto"/>
          <w:kern w:val="0"/>
          <w:sz w:val="32"/>
          <w:szCs w:val="32"/>
          <w:highlight w:val="none"/>
          <w:lang w:eastAsia="zh-CN"/>
        </w:rPr>
        <w:t>市对下转移支付资金，以及管理过程中的有关事项。</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 w:val="0"/>
          <w:bCs/>
          <w:color w:val="auto"/>
          <w:kern w:val="0"/>
          <w:sz w:val="32"/>
          <w:szCs w:val="32"/>
          <w:highlight w:val="none"/>
          <w:lang w:eastAsia="zh-CN"/>
        </w:rPr>
      </w:pPr>
      <w:r>
        <w:rPr>
          <w:rFonts w:hint="eastAsia" w:ascii="方正仿宋_GBK" w:hAnsi="方正仿宋_GBK" w:eastAsia="方正仿宋_GBK" w:cs="方正仿宋_GBK"/>
          <w:b/>
          <w:bCs w:val="0"/>
          <w:color w:val="auto"/>
          <w:kern w:val="0"/>
          <w:sz w:val="32"/>
          <w:szCs w:val="32"/>
          <w:highlight w:val="none"/>
          <w:lang w:eastAsia="zh-CN"/>
        </w:rPr>
        <w:t>第五条</w:t>
      </w:r>
      <w:r>
        <w:rPr>
          <w:rFonts w:hint="eastAsia" w:ascii="方正仿宋_GBK" w:hAnsi="方正仿宋_GBK" w:eastAsia="方正仿宋_GBK" w:cs="方正仿宋_GBK"/>
          <w:bCs/>
          <w:color w:val="auto"/>
          <w:kern w:val="0"/>
          <w:sz w:val="32"/>
          <w:szCs w:val="32"/>
          <w:highlight w:val="none"/>
          <w:lang w:val="en-US" w:eastAsia="zh-CN"/>
        </w:rPr>
        <w:t xml:space="preserve">  预算执行监管的基本要素信息包括但不限于项目名称和类型、转移支付“追踪”标识、预算金额、分配下达时间、收付款人和账户、支付金额、支付时间、资金用途、结算方式、支出功能分类科目、支出经济分类科目、项目相关信息等。</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第六条</w:t>
      </w:r>
      <w:r>
        <w:rPr>
          <w:rFonts w:hint="eastAsia" w:ascii="方正仿宋_GBK" w:hAnsi="方正仿宋_GBK" w:eastAsia="方正仿宋_GBK" w:cs="方正仿宋_GBK"/>
          <w:bCs/>
          <w:color w:val="auto"/>
          <w:kern w:val="0"/>
          <w:sz w:val="32"/>
          <w:szCs w:val="32"/>
          <w:highlight w:val="none"/>
          <w:lang w:val="en-US" w:eastAsia="zh-CN"/>
        </w:rPr>
        <w:t xml:space="preserve">  预算执行监管主要内容为：</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（一）分配下达方面：是否违规将资金分配到不符合条件的县区、单位或项目；是否违反规定时限分配下达资金；是否存在截留、滞留问题等。</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（二）资金拨付方面：是否违规将资金拨付至财政专户、预算单位实有资金账户；是否违规将资金拨付至地方融资平台或中转支付到最终收款人；是否违规超进度支付资金等。</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（三）资金使用方面：是否违反预算、国库、财务、会计、资产、政府采购、现金、“三公”经费、“习惯过紧日子”等相关管理制度使用资金。</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（四）其他需要监管的内容。</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_GBK" w:hAnsi="方正黑体_GBK" w:eastAsia="方正黑体_GBK" w:cs="方正黑体_GBK"/>
          <w:bCs/>
          <w:color w:val="auto"/>
          <w:kern w:val="0"/>
          <w:sz w:val="32"/>
          <w:szCs w:val="32"/>
          <w:highlight w:val="none"/>
          <w:lang w:eastAsia="zh-CN"/>
        </w:rPr>
      </w:pPr>
      <w:r>
        <w:rPr>
          <w:rFonts w:hint="eastAsia" w:ascii="方正黑体_GBK" w:hAnsi="方正黑体_GBK" w:eastAsia="方正黑体_GBK" w:cs="方正黑体_GBK"/>
          <w:bCs/>
          <w:color w:val="auto"/>
          <w:kern w:val="0"/>
          <w:sz w:val="32"/>
          <w:szCs w:val="32"/>
          <w:highlight w:val="none"/>
          <w:lang w:eastAsia="zh-CN"/>
        </w:rPr>
        <w:t>第三章</w:t>
      </w:r>
      <w:r>
        <w:rPr>
          <w:rFonts w:hint="eastAsia" w:ascii="方正黑体_GBK" w:hAnsi="方正黑体_GBK" w:eastAsia="方正黑体_GBK" w:cs="方正黑体_GBK"/>
          <w:bCs/>
          <w:color w:val="auto"/>
          <w:kern w:val="0"/>
          <w:sz w:val="32"/>
          <w:szCs w:val="32"/>
          <w:highlight w:val="none"/>
          <w:lang w:val="en-US" w:eastAsia="zh-CN"/>
        </w:rPr>
        <w:t xml:space="preserve">  </w:t>
      </w:r>
      <w:r>
        <w:rPr>
          <w:rFonts w:hint="eastAsia" w:ascii="方正黑体_GBK" w:hAnsi="方正黑体_GBK" w:eastAsia="方正黑体_GBK" w:cs="方正黑体_GBK"/>
          <w:bCs/>
          <w:color w:val="auto"/>
          <w:kern w:val="0"/>
          <w:sz w:val="32"/>
          <w:szCs w:val="32"/>
          <w:highlight w:val="none"/>
          <w:lang w:eastAsia="zh-CN"/>
        </w:rPr>
        <w:t>预算执行监管流程</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default"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第七条</w:t>
      </w:r>
      <w:r>
        <w:rPr>
          <w:rFonts w:hint="eastAsia" w:ascii="方正仿宋_GBK" w:hAnsi="方正仿宋_GBK" w:eastAsia="方正仿宋_GBK" w:cs="方正仿宋_GBK"/>
          <w:bCs/>
          <w:color w:val="auto"/>
          <w:kern w:val="0"/>
          <w:sz w:val="32"/>
          <w:szCs w:val="32"/>
          <w:highlight w:val="none"/>
          <w:lang w:val="en-US" w:eastAsia="zh-CN"/>
        </w:rPr>
        <w:t xml:space="preserve">  预算执行监管依托一体化系统监控模块开展，相关数据信息在监管权限范围内全程共享。监管流程主要包括预警提示、分类处置、自查自纠、全量核实、督促整改、争议处理、定期报告等环节。</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第八条</w:t>
      </w:r>
      <w:r>
        <w:rPr>
          <w:rFonts w:hint="eastAsia" w:ascii="方正仿宋_GBK" w:hAnsi="方正仿宋_GBK" w:eastAsia="方正仿宋_GBK" w:cs="方正仿宋_GBK"/>
          <w:bCs/>
          <w:color w:val="auto"/>
          <w:kern w:val="0"/>
          <w:sz w:val="32"/>
          <w:szCs w:val="32"/>
          <w:highlight w:val="none"/>
          <w:lang w:val="en-US" w:eastAsia="zh-CN"/>
        </w:rPr>
        <w:t xml:space="preserve">  预警提示方式包括系统预警和人工预警。</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（一）系统预警是指通过监控模块中设置的预警规则，自动产生预警信息，提示相关预算部门、单位、市财政局相关科室和所属单位及时查看、处理。</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预警规则依据预算执行监管有关规定，由财政部、省财政厅、市财政局共同设置，实行清单管理、动态调整。预警规则分为预警类预警规则和控制类预警规则。</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预警类预警规则按照预警级别分为阻止类、Ⅰ级、Ⅱ级。将预算执行监管有关规定明确禁止，且无特例允许情形的支付行为，设置为阻止类预警规则；将预算执行监管有关规定明确禁止且资金支付使用风险较高，但存在特例允许情形的支付行为，设置为Ⅰ级预警规则；将预算执行监管有关规定仅作出原则性限定要求或资金支付使用风险较低，需要结合预算安排等相关材料进行核实的支付行为，设置为Ⅱ级预警规则。</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控制类预警规则按照预警级别设置为Ⅰ级，用于统筹库款管理，避免发生支付风险。</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人工预警是指财政部、省财政厅、市财政局根据监管需要通过监控模块设置条件，对转移支付相关数据进行筛查，生成监控处理单，提示相关预算部门、单位、市财政局相关科室和所属单位、县区财政及时查看、处理。</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default" w:ascii="Nimbus Roman No9 L" w:hAnsi="Nimbus Roman No9 L" w:eastAsia="方正仿宋_GBK" w:cs="Nimbus Roman No9 L"/>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第九条</w:t>
      </w:r>
      <w:r>
        <w:rPr>
          <w:rFonts w:hint="eastAsia" w:ascii="方正仿宋_GBK" w:hAnsi="方正仿宋_GBK" w:eastAsia="方正仿宋_GBK" w:cs="方正仿宋_GBK"/>
          <w:bCs/>
          <w:color w:val="auto"/>
          <w:kern w:val="0"/>
          <w:sz w:val="32"/>
          <w:szCs w:val="32"/>
          <w:highlight w:val="none"/>
          <w:lang w:val="en-US" w:eastAsia="zh-CN"/>
        </w:rPr>
        <w:t xml:space="preserve">  预警提示内容包括部门预算预警信息、转移支付预警信息、转移支付监控处理单，</w:t>
      </w:r>
      <w:r>
        <w:rPr>
          <w:rFonts w:hint="eastAsia" w:ascii="Nimbus Roman No9 L" w:hAnsi="Nimbus Roman No9 L" w:eastAsia="方正仿宋_GBK" w:cs="Nimbus Roman No9 L"/>
          <w:bCs/>
          <w:color w:val="auto"/>
          <w:kern w:val="0"/>
          <w:sz w:val="32"/>
          <w:szCs w:val="32"/>
          <w:highlight w:val="none"/>
          <w:lang w:val="en-US" w:eastAsia="zh-CN"/>
        </w:rPr>
        <w:t>具体</w:t>
      </w:r>
      <w:r>
        <w:rPr>
          <w:rFonts w:hint="default" w:ascii="Nimbus Roman No9 L" w:hAnsi="Nimbus Roman No9 L" w:eastAsia="方正仿宋_GBK" w:cs="Nimbus Roman No9 L"/>
          <w:bCs/>
          <w:color w:val="auto"/>
          <w:kern w:val="0"/>
          <w:sz w:val="32"/>
          <w:szCs w:val="32"/>
          <w:highlight w:val="none"/>
          <w:lang w:val="en-US" w:eastAsia="zh-CN"/>
        </w:rPr>
        <w:t>处理流程详见</w:t>
      </w:r>
      <w:r>
        <w:rPr>
          <w:rFonts w:hint="eastAsia" w:ascii="Nimbus Roman No9 L" w:hAnsi="Nimbus Roman No9 L" w:eastAsia="方正仿宋_GBK" w:cs="Nimbus Roman No9 L"/>
          <w:bCs/>
          <w:color w:val="auto"/>
          <w:kern w:val="0"/>
          <w:sz w:val="32"/>
          <w:szCs w:val="32"/>
          <w:highlight w:val="none"/>
          <w:lang w:val="en-US" w:eastAsia="zh-CN"/>
        </w:rPr>
        <w:t>附件</w:t>
      </w:r>
      <w:r>
        <w:rPr>
          <w:rFonts w:hint="default" w:ascii="Nimbus Roman No9 L" w:hAnsi="Nimbus Roman No9 L" w:eastAsia="方正仿宋_GBK" w:cs="Nimbus Roman No9 L"/>
          <w:bCs/>
          <w:color w:val="auto"/>
          <w:kern w:val="0"/>
          <w:sz w:val="32"/>
          <w:szCs w:val="32"/>
          <w:highlight w:val="none"/>
          <w:lang w:val="en-US" w:eastAsia="zh-CN"/>
        </w:rPr>
        <w:t>。</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第十条</w:t>
      </w:r>
      <w:r>
        <w:rPr>
          <w:rFonts w:hint="eastAsia" w:ascii="方正仿宋_GBK" w:hAnsi="方正仿宋_GBK" w:eastAsia="方正仿宋_GBK" w:cs="方正仿宋_GBK"/>
          <w:bCs/>
          <w:color w:val="auto"/>
          <w:kern w:val="0"/>
          <w:sz w:val="32"/>
          <w:szCs w:val="32"/>
          <w:highlight w:val="none"/>
          <w:lang w:val="en-US" w:eastAsia="zh-CN"/>
        </w:rPr>
        <w:t xml:space="preserve">  预算单位的支付申请触发阻止类预警规则的，一体化系统处理方式为禁止，阻止预算单位提交申请，不予保存。</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第十一条</w:t>
      </w:r>
      <w:r>
        <w:rPr>
          <w:rFonts w:hint="eastAsia" w:ascii="方正仿宋_GBK" w:hAnsi="方正仿宋_GBK" w:eastAsia="方正仿宋_GBK" w:cs="方正仿宋_GBK"/>
          <w:bCs/>
          <w:color w:val="auto"/>
          <w:kern w:val="0"/>
          <w:sz w:val="32"/>
          <w:szCs w:val="32"/>
          <w:highlight w:val="none"/>
          <w:lang w:val="en-US" w:eastAsia="zh-CN"/>
        </w:rPr>
        <w:t xml:space="preserve">  预算单位的支付申请触发预警类Ⅰ级预警规则的，一体化系统处理方式为冻结，提醒预算单位对照相关财政财务制度，确认支付申请是否违规、支付信息是否完整准确，经确认无误、继续提交申请后，一体化系统自动暂停支付，生成Ⅰ级系统预警信息，转入人工审核，分别由预算部</w:t>
      </w:r>
      <w:r>
        <w:rPr>
          <w:rFonts w:hint="default" w:ascii="Nimbus Roman No9 L" w:hAnsi="Nimbus Roman No9 L" w:eastAsia="方正仿宋_GBK" w:cs="Nimbus Roman No9 L"/>
          <w:bCs/>
          <w:color w:val="auto"/>
          <w:kern w:val="0"/>
          <w:sz w:val="32"/>
          <w:szCs w:val="32"/>
          <w:highlight w:val="none"/>
          <w:lang w:val="en-US" w:eastAsia="zh-CN"/>
        </w:rPr>
        <w:t>门</w:t>
      </w:r>
      <w:r>
        <w:rPr>
          <w:rFonts w:hint="eastAsia" w:ascii="方正仿宋_GBK" w:hAnsi="方正仿宋_GBK" w:eastAsia="方正仿宋_GBK" w:cs="方正仿宋_GBK"/>
          <w:bCs/>
          <w:color w:val="auto"/>
          <w:kern w:val="0"/>
          <w:sz w:val="32"/>
          <w:szCs w:val="32"/>
          <w:highlight w:val="none"/>
          <w:lang w:val="en-US" w:eastAsia="zh-CN"/>
        </w:rPr>
        <w:t>、市财政局</w:t>
      </w:r>
      <w:r>
        <w:rPr>
          <w:rFonts w:hint="default" w:ascii="Nimbus Roman No9 L" w:hAnsi="Nimbus Roman No9 L" w:eastAsia="方正仿宋_GBK" w:cs="Nimbus Roman No9 L"/>
          <w:bCs/>
          <w:color w:val="auto"/>
          <w:kern w:val="0"/>
          <w:sz w:val="32"/>
          <w:szCs w:val="32"/>
          <w:highlight w:val="none"/>
          <w:lang w:val="en-US" w:eastAsia="zh-CN"/>
        </w:rPr>
        <w:t>在</w:t>
      </w:r>
      <w:r>
        <w:rPr>
          <w:rFonts w:hint="eastAsia" w:ascii="Nimbus Roman No9 L" w:hAnsi="Nimbus Roman No9 L" w:eastAsia="方正仿宋_GBK" w:cs="Nimbus Roman No9 L"/>
          <w:bCs/>
          <w:color w:val="auto"/>
          <w:kern w:val="0"/>
          <w:sz w:val="32"/>
          <w:szCs w:val="32"/>
          <w:highlight w:val="none"/>
          <w:lang w:val="en-US" w:eastAsia="zh-CN"/>
        </w:rPr>
        <w:t>2</w:t>
      </w:r>
      <w:r>
        <w:rPr>
          <w:rFonts w:hint="default" w:ascii="Nimbus Roman No9 L" w:hAnsi="Nimbus Roman No9 L" w:eastAsia="方正仿宋_GBK" w:cs="Nimbus Roman No9 L"/>
          <w:bCs/>
          <w:color w:val="auto"/>
          <w:kern w:val="0"/>
          <w:sz w:val="32"/>
          <w:szCs w:val="32"/>
          <w:highlight w:val="none"/>
          <w:lang w:val="en-US" w:eastAsia="zh-CN"/>
        </w:rPr>
        <w:t>个工作日</w:t>
      </w:r>
      <w:r>
        <w:rPr>
          <w:rFonts w:hint="eastAsia" w:ascii="方正仿宋_GBK" w:hAnsi="方正仿宋_GBK" w:eastAsia="方正仿宋_GBK" w:cs="方正仿宋_GBK"/>
          <w:bCs/>
          <w:color w:val="auto"/>
          <w:kern w:val="0"/>
          <w:sz w:val="32"/>
          <w:szCs w:val="32"/>
          <w:highlight w:val="none"/>
          <w:lang w:val="en-US" w:eastAsia="zh-CN"/>
        </w:rPr>
        <w:t>内按流程作出核查处理意见。</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第十二条</w:t>
      </w:r>
      <w:r>
        <w:rPr>
          <w:rFonts w:hint="eastAsia" w:ascii="方正仿宋_GBK" w:hAnsi="方正仿宋_GBK" w:eastAsia="方正仿宋_GBK" w:cs="方正仿宋_GBK"/>
          <w:bCs/>
          <w:color w:val="auto"/>
          <w:kern w:val="0"/>
          <w:sz w:val="32"/>
          <w:szCs w:val="32"/>
          <w:highlight w:val="none"/>
          <w:lang w:val="en-US" w:eastAsia="zh-CN"/>
        </w:rPr>
        <w:t xml:space="preserve">  预算单位的支付申请触发预警类Ⅱ级预警规则的，一体化系统处理方式为预警，提醒预算单位对照相关财政财务制度，确认支付申请是否违规、支付信息是否完整准确，经确认无误后，可以继续办理支付。市财</w:t>
      </w:r>
      <w:r>
        <w:rPr>
          <w:rFonts w:hint="default" w:ascii="Nimbus Roman No9 L" w:hAnsi="Nimbus Roman No9 L" w:eastAsia="方正仿宋_GBK" w:cs="Nimbus Roman No9 L"/>
          <w:bCs/>
          <w:color w:val="auto"/>
          <w:kern w:val="0"/>
          <w:sz w:val="32"/>
          <w:szCs w:val="32"/>
          <w:highlight w:val="none"/>
          <w:lang w:val="en-US" w:eastAsia="zh-CN"/>
        </w:rPr>
        <w:t>政局</w:t>
      </w:r>
      <w:r>
        <w:rPr>
          <w:rFonts w:hint="eastAsia" w:ascii="Nimbus Roman No9 L" w:hAnsi="Nimbus Roman No9 L" w:eastAsia="方正仿宋_GBK" w:cs="Nimbus Roman No9 L"/>
          <w:bCs/>
          <w:color w:val="auto"/>
          <w:kern w:val="0"/>
          <w:sz w:val="32"/>
          <w:szCs w:val="32"/>
          <w:highlight w:val="none"/>
          <w:lang w:val="en-US" w:eastAsia="zh-CN"/>
        </w:rPr>
        <w:t>每日</w:t>
      </w:r>
      <w:r>
        <w:rPr>
          <w:rFonts w:hint="eastAsia" w:ascii="方正仿宋_GBK" w:hAnsi="方正仿宋_GBK" w:eastAsia="方正仿宋_GBK" w:cs="方正仿宋_GBK"/>
          <w:bCs/>
          <w:color w:val="auto"/>
          <w:kern w:val="0"/>
          <w:sz w:val="32"/>
          <w:szCs w:val="32"/>
          <w:highlight w:val="none"/>
          <w:lang w:val="en-US" w:eastAsia="zh-CN"/>
        </w:rPr>
        <w:t>对已支付业务进行预警有效性全量筛查，形成Ⅱ级系统预警信息推送至相关预算部门和预算单位。</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相关预算部门和预算单位在接收到Ⅱ级系统预警信息后，应积极组织开展自查，</w:t>
      </w:r>
      <w:r>
        <w:rPr>
          <w:rFonts w:hint="default" w:ascii="Nimbus Roman No9 L" w:hAnsi="Nimbus Roman No9 L" w:eastAsia="方正仿宋_GBK" w:cs="Nimbus Roman No9 L"/>
          <w:bCs/>
          <w:color w:val="auto"/>
          <w:kern w:val="0"/>
          <w:sz w:val="32"/>
          <w:szCs w:val="32"/>
          <w:highlight w:val="none"/>
          <w:lang w:val="en-US" w:eastAsia="zh-CN"/>
        </w:rPr>
        <w:t>在</w:t>
      </w:r>
      <w:r>
        <w:rPr>
          <w:rFonts w:hint="eastAsia" w:ascii="Nimbus Roman No9 L" w:hAnsi="Nimbus Roman No9 L" w:eastAsia="方正仿宋_GBK" w:cs="Nimbus Roman No9 L"/>
          <w:bCs/>
          <w:color w:val="auto"/>
          <w:kern w:val="0"/>
          <w:sz w:val="32"/>
          <w:szCs w:val="32"/>
          <w:highlight w:val="none"/>
          <w:lang w:val="en-US" w:eastAsia="zh-CN"/>
        </w:rPr>
        <w:t>2</w:t>
      </w:r>
      <w:r>
        <w:rPr>
          <w:rFonts w:hint="default" w:ascii="Nimbus Roman No9 L" w:hAnsi="Nimbus Roman No9 L" w:eastAsia="方正仿宋_GBK" w:cs="Nimbus Roman No9 L"/>
          <w:bCs/>
          <w:color w:val="auto"/>
          <w:kern w:val="0"/>
          <w:sz w:val="32"/>
          <w:szCs w:val="32"/>
          <w:highlight w:val="none"/>
          <w:lang w:val="en-US" w:eastAsia="zh-CN"/>
        </w:rPr>
        <w:t>个工作日内</w:t>
      </w:r>
      <w:r>
        <w:rPr>
          <w:rFonts w:hint="eastAsia" w:ascii="Nimbus Roman No9 L" w:hAnsi="Nimbus Roman No9 L" w:eastAsia="方正仿宋_GBK" w:cs="Nimbus Roman No9 L"/>
          <w:bCs/>
          <w:color w:val="auto"/>
          <w:kern w:val="0"/>
          <w:sz w:val="32"/>
          <w:szCs w:val="32"/>
          <w:highlight w:val="none"/>
          <w:lang w:val="en-US" w:eastAsia="zh-CN"/>
        </w:rPr>
        <w:t>通过一体化系统监控模块对预警信息进行</w:t>
      </w:r>
      <w:r>
        <w:rPr>
          <w:rFonts w:hint="eastAsia" w:ascii="方正仿宋_GBK" w:hAnsi="方正仿宋_GBK" w:eastAsia="方正仿宋_GBK" w:cs="方正仿宋_GBK"/>
          <w:bCs/>
          <w:color w:val="auto"/>
          <w:kern w:val="0"/>
          <w:sz w:val="32"/>
          <w:szCs w:val="32"/>
          <w:highlight w:val="none"/>
          <w:lang w:val="en-US" w:eastAsia="zh-CN"/>
        </w:rPr>
        <w:t>逐条核实，确认是否存在问题，并通过系统反馈核实处理情况。</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方正仿宋_GBK" w:hAnsi="方正仿宋_GBK" w:eastAsia="方正仿宋_GBK" w:cs="方正仿宋_GBK"/>
          <w:bCs/>
          <w:color w:val="FF0000"/>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（一）认为存在问题的，应准确选择违规类型和整改方式，上传佐证材料及相关说明。</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（二）认为不存在问题的，上传佐证材料及相关说明。</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市财政局在</w:t>
      </w:r>
      <w:r>
        <w:rPr>
          <w:rFonts w:hint="default" w:ascii="Nimbus Roman No9 L" w:hAnsi="Nimbus Roman No9 L" w:eastAsia="方正仿宋_GBK" w:cs="Nimbus Roman No9 L"/>
          <w:bCs/>
          <w:color w:val="auto"/>
          <w:kern w:val="0"/>
          <w:sz w:val="32"/>
          <w:szCs w:val="32"/>
          <w:highlight w:val="none"/>
          <w:lang w:val="en-US" w:eastAsia="zh-CN"/>
        </w:rPr>
        <w:t>2个工作日、5个工作日内，分别对本级系统预警信息和全市人工预警信息的核实处</w:t>
      </w:r>
      <w:r>
        <w:rPr>
          <w:rFonts w:hint="eastAsia" w:ascii="方正仿宋_GBK" w:hAnsi="方正仿宋_GBK" w:eastAsia="方正仿宋_GBK" w:cs="方正仿宋_GBK"/>
          <w:bCs/>
          <w:color w:val="auto"/>
          <w:kern w:val="0"/>
          <w:sz w:val="32"/>
          <w:szCs w:val="32"/>
          <w:highlight w:val="none"/>
          <w:lang w:val="en-US" w:eastAsia="zh-CN"/>
        </w:rPr>
        <w:t>理情况进行全量复核。结合突出问题，对上级转移支付资金县区系统预警信息核实处理情况进行实时核查，年度内实现归口管理项目全覆盖。</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eastAsia="zh-CN"/>
        </w:rPr>
      </w:pPr>
      <w:r>
        <w:rPr>
          <w:rFonts w:hint="eastAsia" w:ascii="方正仿宋_GBK" w:hAnsi="方正仿宋_GBK" w:eastAsia="方正仿宋_GBK" w:cs="方正仿宋_GBK"/>
          <w:b/>
          <w:bCs w:val="0"/>
          <w:color w:val="auto"/>
          <w:kern w:val="0"/>
          <w:sz w:val="32"/>
          <w:szCs w:val="32"/>
          <w:highlight w:val="none"/>
          <w:lang w:eastAsia="zh-CN"/>
        </w:rPr>
        <w:t>第十三条</w:t>
      </w:r>
      <w:r>
        <w:rPr>
          <w:rFonts w:hint="eastAsia" w:ascii="方正仿宋_GBK" w:hAnsi="方正仿宋_GBK" w:eastAsia="方正仿宋_GBK" w:cs="方正仿宋_GBK"/>
          <w:bCs/>
          <w:color w:val="auto"/>
          <w:kern w:val="0"/>
          <w:sz w:val="32"/>
          <w:szCs w:val="32"/>
          <w:highlight w:val="none"/>
          <w:lang w:val="en-US" w:eastAsia="zh-CN"/>
        </w:rPr>
        <w:t xml:space="preserve">  预算单位的支付申请触发控制类Ⅰ级预警规则的，一体化系统处理方式为冻结，系统自动暂停支付，生成Ⅰ级预警信息，转入人工审核，由市财政局依据库款情况统筹处理。</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eastAsia="zh-CN"/>
        </w:rPr>
      </w:pPr>
      <w:r>
        <w:rPr>
          <w:rFonts w:hint="eastAsia" w:ascii="方正仿宋_GBK" w:hAnsi="方正仿宋_GBK" w:eastAsia="方正仿宋_GBK" w:cs="方正仿宋_GBK"/>
          <w:b/>
          <w:bCs w:val="0"/>
          <w:color w:val="auto"/>
          <w:kern w:val="0"/>
          <w:sz w:val="32"/>
          <w:szCs w:val="32"/>
          <w:highlight w:val="none"/>
          <w:lang w:eastAsia="zh-CN"/>
        </w:rPr>
        <w:t>第十四条</w:t>
      </w:r>
      <w:r>
        <w:rPr>
          <w:rFonts w:hint="eastAsia" w:ascii="方正仿宋_GBK" w:hAnsi="方正仿宋_GBK" w:eastAsia="方正仿宋_GBK" w:cs="方正仿宋_GBK"/>
          <w:bCs/>
          <w:color w:val="auto"/>
          <w:kern w:val="0"/>
          <w:sz w:val="32"/>
          <w:szCs w:val="32"/>
          <w:highlight w:val="none"/>
          <w:lang w:val="en-US" w:eastAsia="zh-CN"/>
        </w:rPr>
        <w:t xml:space="preserve">  预算部门和预算单位在接收到人工预警信息后，比照Ⅱ级系统预警信息处理流程进行自查、核实，接受市财政局复核和省财政厅、财政部核查。</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第十五条</w:t>
      </w:r>
      <w:r>
        <w:rPr>
          <w:rFonts w:hint="eastAsia" w:ascii="方正仿宋_GBK" w:hAnsi="方正仿宋_GBK" w:eastAsia="方正仿宋_GBK" w:cs="方正仿宋_GBK"/>
          <w:bCs/>
          <w:color w:val="auto"/>
          <w:kern w:val="0"/>
          <w:sz w:val="32"/>
          <w:szCs w:val="32"/>
          <w:highlight w:val="none"/>
          <w:lang w:val="en-US" w:eastAsia="zh-CN"/>
        </w:rPr>
        <w:t xml:space="preserve">  市财政局、预算部门根据各自监管职责和财会监督要求，督促预算单位及时核实处理预警信息，对预算单位反馈信息，根据需要可以通过线上补充资料、线下电话核实、调阅资料、实地核证、部门协查等方式进行核查，核查结果一致的，作确认处理；核查结果不一致的，通知相关预算单位落实整改意见。</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（一）对不及时整改、未按要求整改或虚报整改情况的，制发书面整改意见，要求相关预算单位限期整改。</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（二）对未在限期内落实书面整改意见的，依据有关规定，采取必要处理措施，并视情节严重程度，在一定范围内予以通报。</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（三）对重大问题线索信息，按规定移送有关部门。</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default"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第十六条</w:t>
      </w:r>
      <w:r>
        <w:rPr>
          <w:rFonts w:hint="eastAsia" w:ascii="方正仿宋_GBK" w:hAnsi="方正仿宋_GBK" w:eastAsia="方正仿宋_GBK" w:cs="方正仿宋_GBK"/>
          <w:bCs/>
          <w:color w:val="auto"/>
          <w:kern w:val="0"/>
          <w:sz w:val="32"/>
          <w:szCs w:val="32"/>
          <w:highlight w:val="none"/>
          <w:lang w:val="en-US" w:eastAsia="zh-CN"/>
        </w:rPr>
        <w:t xml:space="preserve">  相关预算部门、预算单位对违规问题确认、定性、处理等存在争议的，应依规依法协商解决。达不成一致的，由市财政局支出科室会同相关科室研究处理。</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第十七条</w:t>
      </w:r>
      <w:r>
        <w:rPr>
          <w:rFonts w:hint="eastAsia" w:ascii="方正仿宋_GBK" w:hAnsi="方正仿宋_GBK" w:eastAsia="方正仿宋_GBK" w:cs="方正仿宋_GBK"/>
          <w:bCs/>
          <w:color w:val="auto"/>
          <w:kern w:val="0"/>
          <w:sz w:val="32"/>
          <w:szCs w:val="32"/>
          <w:highlight w:val="none"/>
          <w:lang w:val="en-US" w:eastAsia="zh-CN"/>
        </w:rPr>
        <w:t xml:space="preserve">  市财政局定期对预警违规问题进行分类统计，分析产生问题的原因，提出规范预算执行管理的意见建议。</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_GBK" w:hAnsi="方正黑体_GBK" w:eastAsia="方正黑体_GBK" w:cs="方正黑体_GBK"/>
          <w:bCs/>
          <w:color w:val="auto"/>
          <w:kern w:val="0"/>
          <w:sz w:val="32"/>
          <w:szCs w:val="32"/>
          <w:highlight w:val="none"/>
          <w:lang w:eastAsia="zh-CN"/>
        </w:rPr>
      </w:pPr>
      <w:r>
        <w:rPr>
          <w:rFonts w:hint="eastAsia" w:ascii="方正黑体_GBK" w:hAnsi="方正黑体_GBK" w:eastAsia="方正黑体_GBK" w:cs="方正黑体_GBK"/>
          <w:bCs/>
          <w:color w:val="auto"/>
          <w:kern w:val="0"/>
          <w:sz w:val="32"/>
          <w:szCs w:val="32"/>
          <w:highlight w:val="none"/>
          <w:lang w:eastAsia="zh-CN"/>
        </w:rPr>
        <w:t>第四章</w:t>
      </w:r>
      <w:r>
        <w:rPr>
          <w:rFonts w:hint="eastAsia" w:ascii="方正黑体_GBK" w:hAnsi="方正黑体_GBK" w:eastAsia="方正黑体_GBK" w:cs="方正黑体_GBK"/>
          <w:bCs/>
          <w:color w:val="auto"/>
          <w:kern w:val="0"/>
          <w:sz w:val="32"/>
          <w:szCs w:val="32"/>
          <w:highlight w:val="none"/>
          <w:lang w:val="en-US" w:eastAsia="zh-CN"/>
        </w:rPr>
        <w:t xml:space="preserve">  </w:t>
      </w:r>
      <w:r>
        <w:rPr>
          <w:rFonts w:hint="eastAsia" w:ascii="方正黑体_GBK" w:hAnsi="方正黑体_GBK" w:eastAsia="方正黑体_GBK" w:cs="方正黑体_GBK"/>
          <w:bCs/>
          <w:color w:val="auto"/>
          <w:kern w:val="0"/>
          <w:sz w:val="32"/>
          <w:szCs w:val="32"/>
          <w:highlight w:val="none"/>
          <w:lang w:eastAsia="zh-CN"/>
        </w:rPr>
        <w:t>职责分工</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第十八条</w:t>
      </w:r>
      <w:r>
        <w:rPr>
          <w:rFonts w:hint="eastAsia" w:ascii="方正仿宋_GBK" w:hAnsi="方正仿宋_GBK" w:eastAsia="方正仿宋_GBK" w:cs="方正仿宋_GBK"/>
          <w:bCs/>
          <w:color w:val="auto"/>
          <w:kern w:val="0"/>
          <w:sz w:val="32"/>
          <w:szCs w:val="32"/>
          <w:highlight w:val="none"/>
          <w:lang w:val="en-US" w:eastAsia="zh-CN"/>
        </w:rPr>
        <w:t xml:space="preserve">  市财政局成立由预算科、国库科、各支出科室、财政监督局、国库支付中心、信息中心等组成的预算执行监管工作组，下设办公室，办公室设在国库支付中心，与预算部门、单位共同做好预算执行监管工作。</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第十九条</w:t>
      </w:r>
      <w:r>
        <w:rPr>
          <w:rFonts w:hint="eastAsia" w:ascii="方正仿宋_GBK" w:hAnsi="方正仿宋_GBK" w:eastAsia="方正仿宋_GBK" w:cs="方正仿宋_GBK"/>
          <w:bCs/>
          <w:color w:val="auto"/>
          <w:kern w:val="0"/>
          <w:sz w:val="32"/>
          <w:szCs w:val="32"/>
          <w:highlight w:val="none"/>
          <w:lang w:val="en-US" w:eastAsia="zh-CN"/>
        </w:rPr>
        <w:t xml:space="preserve">  市财政局国库支付中心、国库科负有统筹协调责任，主要职责：</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（一）研究制订市级预算执行监管制度；</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（二）常态化开展预警规则研究工作，动态优化预警规则，建立预警规则库；</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（三）汇总中央、省级转移支付常态化监督项目归属科室，配合支出科室拟定纳入市级转移支付常态化项目清单；</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（四）组织开展预算执行监管日常工作和专项核查，推动市财政局各支出科室、预算部门和单位落实主体责任和监管责任；</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（五）开展已支付业务预警信息有效性筛查；</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（六）加强监管情况分析和结果运用，定期报告预算执行监管工作开展情况；</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（七）不定期召开工作调度会，研究确定预算执行监管业务需求，统一管理监控模块数据信息；</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（八）负责指导县区财政部门规范有序开展监管工作。</w:t>
      </w:r>
    </w:p>
    <w:p>
      <w:pPr>
        <w:pStyle w:val="6"/>
        <w:keepNext w:val="0"/>
        <w:keepLines w:val="0"/>
        <w:pageBreakBefore w:val="0"/>
        <w:widowControl w:val="0"/>
        <w:kinsoku/>
        <w:wordWrap/>
        <w:overflowPunct/>
        <w:topLinePunct w:val="0"/>
        <w:autoSpaceDE/>
        <w:autoSpaceDN/>
        <w:bidi w:val="0"/>
        <w:adjustRightInd/>
        <w:snapToGrid/>
        <w:spacing w:line="580" w:lineRule="exact"/>
        <w:ind w:left="638" w:leftChars="304" w:firstLine="0" w:firstLineChars="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第二十条</w:t>
      </w:r>
      <w:r>
        <w:rPr>
          <w:rFonts w:hint="eastAsia" w:ascii="方正仿宋_GBK" w:hAnsi="方正仿宋_GBK" w:eastAsia="方正仿宋_GBK" w:cs="方正仿宋_GBK"/>
          <w:bCs/>
          <w:color w:val="auto"/>
          <w:kern w:val="0"/>
          <w:sz w:val="32"/>
          <w:szCs w:val="32"/>
          <w:highlight w:val="none"/>
          <w:lang w:val="en-US" w:eastAsia="zh-CN"/>
        </w:rPr>
        <w:t xml:space="preserve">  市财政局各支出科室对归口市级预算部门和单位、</w:t>
      </w:r>
    </w:p>
    <w:p>
      <w:pPr>
        <w:pStyle w:val="6"/>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县区财政转移支付项目预算执行负有监管责任，主要职责：</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（一）对归口市级预算部门和单位、县区财政转移支付项目预算执行情况进行日常监管和专项核查，全量核查预警信息，处理违规问题并从根源解决问题，重大问题及时报告；</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（二）确认中央、省级转移支付常态化监督项目归属，拟定纳入市级转移支付常态化项目清单；</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（三）督促归口市级预算部门落实对所属预算单位、县区财政对归口转移支付项目的监管责任，推动市级预算单位落实主体责任，解释有关政策性问题；</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（四）按要求在一体化系统中做好归口管理转移支付项目的预算指标登记、标识和下达等工作；</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（五）加强监管情况分析和结果运用，及时与各方沟通会商，完善相关管理制度；</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（六）根据预算执行监管要求，提出监管业务需求、预警规则等意见和建议。</w:t>
      </w:r>
    </w:p>
    <w:p>
      <w:pPr>
        <w:pStyle w:val="6"/>
        <w:keepNext w:val="0"/>
        <w:keepLines w:val="0"/>
        <w:pageBreakBefore w:val="0"/>
        <w:widowControl w:val="0"/>
        <w:kinsoku/>
        <w:wordWrap/>
        <w:overflowPunct/>
        <w:topLinePunct w:val="0"/>
        <w:autoSpaceDE/>
        <w:autoSpaceDN/>
        <w:bidi w:val="0"/>
        <w:adjustRightInd/>
        <w:snapToGrid/>
        <w:spacing w:line="580" w:lineRule="exact"/>
        <w:ind w:left="638" w:leftChars="304" w:firstLine="0" w:firstLineChars="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第二十一条</w:t>
      </w:r>
      <w:r>
        <w:rPr>
          <w:rFonts w:hint="eastAsia" w:ascii="方正仿宋_GBK" w:hAnsi="方正仿宋_GBK" w:eastAsia="方正仿宋_GBK" w:cs="方正仿宋_GBK"/>
          <w:bCs/>
          <w:color w:val="auto"/>
          <w:kern w:val="0"/>
          <w:sz w:val="32"/>
          <w:szCs w:val="32"/>
          <w:highlight w:val="none"/>
          <w:lang w:val="en-US" w:eastAsia="zh-CN"/>
        </w:rPr>
        <w:t xml:space="preserve">  市财政局预算科、财政监督局负有协同责任。（一）预算科主要职责：</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Nimbus Roman No9 L" w:hAnsi="Nimbus Roman No9 L" w:eastAsia="方正仿宋_GBK" w:cs="Nimbus Roman No9 L"/>
          <w:bCs/>
          <w:color w:val="auto"/>
          <w:kern w:val="0"/>
          <w:sz w:val="32"/>
          <w:szCs w:val="32"/>
          <w:highlight w:val="none"/>
          <w:lang w:val="en-US" w:eastAsia="zh-CN"/>
        </w:rPr>
      </w:pPr>
      <w:r>
        <w:rPr>
          <w:rFonts w:hint="default" w:ascii="Nimbus Roman No9 L" w:hAnsi="Nimbus Roman No9 L" w:eastAsia="方正仿宋_GBK" w:cs="Nimbus Roman No9 L"/>
          <w:bCs/>
          <w:color w:val="auto"/>
          <w:kern w:val="0"/>
          <w:sz w:val="32"/>
          <w:szCs w:val="32"/>
          <w:highlight w:val="none"/>
          <w:lang w:val="en-US" w:eastAsia="zh-CN"/>
        </w:rPr>
        <w:t>1.</w:t>
      </w:r>
      <w:r>
        <w:rPr>
          <w:rFonts w:hint="eastAsia" w:ascii="Nimbus Roman No9 L" w:hAnsi="Nimbus Roman No9 L" w:eastAsia="方正仿宋_GBK" w:cs="Nimbus Roman No9 L"/>
          <w:bCs/>
          <w:color w:val="auto"/>
          <w:kern w:val="0"/>
          <w:sz w:val="32"/>
          <w:szCs w:val="32"/>
          <w:highlight w:val="none"/>
          <w:lang w:val="en-US" w:eastAsia="zh-CN"/>
        </w:rPr>
        <w:t>负责在一体化系统中规范开展包括转移支付项目在内的项目指标管理；</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Nimbus Roman No9 L" w:hAnsi="Nimbus Roman No9 L" w:eastAsia="方正仿宋_GBK" w:cs="Nimbus Roman No9 L"/>
          <w:bCs/>
          <w:color w:val="auto"/>
          <w:kern w:val="0"/>
          <w:sz w:val="32"/>
          <w:szCs w:val="32"/>
          <w:highlight w:val="none"/>
          <w:lang w:val="en-US" w:eastAsia="zh-CN"/>
        </w:rPr>
      </w:pPr>
      <w:r>
        <w:rPr>
          <w:rFonts w:hint="default" w:ascii="Nimbus Roman No9 L" w:hAnsi="Nimbus Roman No9 L" w:eastAsia="方正仿宋_GBK" w:cs="Nimbus Roman No9 L"/>
          <w:bCs/>
          <w:color w:val="auto"/>
          <w:kern w:val="0"/>
          <w:sz w:val="32"/>
          <w:szCs w:val="32"/>
          <w:highlight w:val="none"/>
          <w:lang w:val="en-US" w:eastAsia="zh-CN"/>
        </w:rPr>
        <w:t>2.加强监管结果运用，改进预算编制，完善相关制度，硬化预算约束；</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Nimbus Roman No9 L" w:hAnsi="Nimbus Roman No9 L" w:eastAsia="方正仿宋_GBK" w:cs="Nimbus Roman No9 L"/>
          <w:bCs/>
          <w:color w:val="auto"/>
          <w:kern w:val="0"/>
          <w:sz w:val="32"/>
          <w:szCs w:val="32"/>
          <w:highlight w:val="none"/>
          <w:lang w:val="en-US" w:eastAsia="zh-CN"/>
        </w:rPr>
        <w:t>3</w:t>
      </w:r>
      <w:r>
        <w:rPr>
          <w:rFonts w:hint="default" w:ascii="Nimbus Roman No9 L" w:hAnsi="Nimbus Roman No9 L" w:eastAsia="方正仿宋_GBK" w:cs="Nimbus Roman No9 L"/>
          <w:bCs/>
          <w:color w:val="auto"/>
          <w:kern w:val="0"/>
          <w:sz w:val="32"/>
          <w:szCs w:val="32"/>
          <w:highlight w:val="none"/>
          <w:lang w:val="en-US" w:eastAsia="zh-CN"/>
        </w:rPr>
        <w:t>.</w:t>
      </w:r>
      <w:r>
        <w:rPr>
          <w:rFonts w:hint="eastAsia" w:ascii="方正仿宋_GBK" w:hAnsi="方正仿宋_GBK" w:eastAsia="方正仿宋_GBK" w:cs="方正仿宋_GBK"/>
          <w:bCs/>
          <w:color w:val="auto"/>
          <w:kern w:val="0"/>
          <w:sz w:val="32"/>
          <w:szCs w:val="32"/>
          <w:highlight w:val="none"/>
          <w:lang w:val="en-US" w:eastAsia="zh-CN"/>
        </w:rPr>
        <w:t>根据预算执行监管要求，提出监管业务需求、预警规则等意见和建议。</w:t>
      </w:r>
    </w:p>
    <w:p>
      <w:pPr>
        <w:pStyle w:val="6"/>
        <w:keepNext w:val="0"/>
        <w:keepLines w:val="0"/>
        <w:pageBreakBefore w:val="0"/>
        <w:widowControl w:val="0"/>
        <w:kinsoku/>
        <w:wordWrap/>
        <w:overflowPunct/>
        <w:topLinePunct w:val="0"/>
        <w:autoSpaceDE/>
        <w:autoSpaceDN/>
        <w:bidi w:val="0"/>
        <w:adjustRightInd/>
        <w:snapToGrid/>
        <w:spacing w:line="580" w:lineRule="exact"/>
        <w:ind w:left="638" w:leftChars="304" w:firstLine="0" w:firstLineChars="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（二）财政监督局主要职责：</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Nimbus Roman No9 L" w:hAnsi="Nimbus Roman No9 L" w:eastAsia="方正仿宋_GBK" w:cs="Nimbus Roman No9 L"/>
          <w:bCs/>
          <w:color w:val="auto"/>
          <w:kern w:val="0"/>
          <w:sz w:val="32"/>
          <w:szCs w:val="32"/>
          <w:highlight w:val="none"/>
          <w:lang w:val="en-US" w:eastAsia="zh-CN"/>
        </w:rPr>
      </w:pPr>
      <w:r>
        <w:rPr>
          <w:rFonts w:hint="default" w:ascii="Nimbus Roman No9 L" w:hAnsi="Nimbus Roman No9 L" w:eastAsia="方正仿宋_GBK" w:cs="Nimbus Roman No9 L"/>
          <w:bCs/>
          <w:color w:val="auto"/>
          <w:kern w:val="0"/>
          <w:sz w:val="32"/>
          <w:szCs w:val="32"/>
          <w:highlight w:val="none"/>
          <w:lang w:val="en-US" w:eastAsia="zh-CN"/>
        </w:rPr>
        <w:t>1.</w:t>
      </w:r>
      <w:r>
        <w:rPr>
          <w:rFonts w:hint="eastAsia" w:ascii="Nimbus Roman No9 L" w:hAnsi="Nimbus Roman No9 L" w:eastAsia="方正仿宋_GBK" w:cs="Nimbus Roman No9 L"/>
          <w:bCs/>
          <w:color w:val="auto"/>
          <w:kern w:val="0"/>
          <w:sz w:val="32"/>
          <w:szCs w:val="32"/>
          <w:highlight w:val="none"/>
          <w:lang w:val="en-US" w:eastAsia="zh-CN"/>
        </w:rPr>
        <w:t>参考预算执行监管情况，确定财会监督专项检查重点；</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Nimbus Roman No9 L" w:hAnsi="Nimbus Roman No9 L" w:eastAsia="方正仿宋_GBK" w:cs="Nimbus Roman No9 L"/>
          <w:bCs/>
          <w:color w:val="auto"/>
          <w:kern w:val="0"/>
          <w:sz w:val="32"/>
          <w:szCs w:val="32"/>
          <w:highlight w:val="none"/>
          <w:lang w:val="en-US" w:eastAsia="zh-CN"/>
        </w:rPr>
        <w:t>2.结合财会监督相关工作要求，</w:t>
      </w:r>
      <w:r>
        <w:rPr>
          <w:rFonts w:hint="eastAsia" w:ascii="方正仿宋_GBK" w:hAnsi="方正仿宋_GBK" w:eastAsia="方正仿宋_GBK" w:cs="方正仿宋_GBK"/>
          <w:bCs/>
          <w:color w:val="auto"/>
          <w:kern w:val="0"/>
          <w:sz w:val="32"/>
          <w:szCs w:val="32"/>
          <w:highlight w:val="none"/>
          <w:lang w:val="en-US" w:eastAsia="zh-CN"/>
        </w:rPr>
        <w:t>提出监管业务需求、预警规则等意见和建议。</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第二十二条</w:t>
      </w:r>
      <w:r>
        <w:rPr>
          <w:rFonts w:hint="eastAsia" w:ascii="方正仿宋_GBK" w:hAnsi="方正仿宋_GBK" w:eastAsia="方正仿宋_GBK" w:cs="方正仿宋_GBK"/>
          <w:bCs/>
          <w:color w:val="auto"/>
          <w:kern w:val="0"/>
          <w:sz w:val="32"/>
          <w:szCs w:val="32"/>
          <w:highlight w:val="none"/>
          <w:lang w:val="en-US" w:eastAsia="zh-CN"/>
        </w:rPr>
        <w:t xml:space="preserve">  市财政局信息中心负有保障责任，主要职责：</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负责提供一体化系统监控模块日常维护、升级完善、信息管理、数据安全、技术脚本等技术支持。</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第二十三条</w:t>
      </w:r>
      <w:r>
        <w:rPr>
          <w:rFonts w:hint="eastAsia" w:ascii="方正仿宋_GBK" w:hAnsi="方正仿宋_GBK" w:eastAsia="方正仿宋_GBK" w:cs="方正仿宋_GBK"/>
          <w:bCs/>
          <w:color w:val="auto"/>
          <w:kern w:val="0"/>
          <w:sz w:val="32"/>
          <w:szCs w:val="32"/>
          <w:highlight w:val="none"/>
          <w:lang w:val="en-US" w:eastAsia="zh-CN"/>
        </w:rPr>
        <w:t xml:space="preserve">  市级预算部门对本部门预算执行负有主体责任，对所属预算单位预算执行负有监管责任，主要职责：</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（一）研究制定本部门预算执行监管制度；</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（二）按照财政管理有关规定使用财政资金，核实、反馈相关预警信息，按要求及时整改违规问题；</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（三）对所属预算单位预算执行情况进行监管，督促其按照规定核实、反馈相关预警信息，全量核查预警信息处理情况；</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（四）强化监管结果运用，结合本部门实际情况，认真总结出现违规问题的原因，加强内控制度建设，规范预算执行管理，避免同类问题反复出现；</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（五）对预算执行监管预警规则等提出意见建议。</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第二十四条</w:t>
      </w:r>
      <w:r>
        <w:rPr>
          <w:rFonts w:hint="eastAsia" w:ascii="方正仿宋_GBK" w:hAnsi="方正仿宋_GBK" w:eastAsia="方正仿宋_GBK" w:cs="方正仿宋_GBK"/>
          <w:bCs/>
          <w:color w:val="auto"/>
          <w:kern w:val="0"/>
          <w:sz w:val="32"/>
          <w:szCs w:val="32"/>
          <w:highlight w:val="none"/>
          <w:lang w:val="en-US" w:eastAsia="zh-CN"/>
        </w:rPr>
        <w:t xml:space="preserve">  市级预算单位负有预算执行主体责任，主要职责：</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（一）研究制定本单位预算执行监管制度；</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（二）按照财政管理有关规定使用财政资金，核实、反馈相关预警信息，按要求及时整改违规问题；</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（三）强化监管结果运用，结合本单位实际情况，认真总结出现违规问题的原因，加强内控制度建设，规范预算执行管理，避免同类问题反复出现；</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（四）对预算执行监管预警规则等提出意见建议。</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_GBK" w:hAnsi="方正黑体_GBK" w:eastAsia="方正黑体_GBK" w:cs="方正黑体_GBK"/>
          <w:bCs/>
          <w:color w:val="auto"/>
          <w:kern w:val="0"/>
          <w:sz w:val="32"/>
          <w:szCs w:val="32"/>
          <w:highlight w:val="none"/>
          <w:lang w:eastAsia="zh-CN"/>
        </w:rPr>
      </w:pPr>
      <w:r>
        <w:rPr>
          <w:rFonts w:hint="eastAsia" w:ascii="方正黑体_GBK" w:hAnsi="方正黑体_GBK" w:eastAsia="方正黑体_GBK" w:cs="方正黑体_GBK"/>
          <w:bCs/>
          <w:color w:val="auto"/>
          <w:kern w:val="0"/>
          <w:sz w:val="32"/>
          <w:szCs w:val="32"/>
          <w:highlight w:val="none"/>
          <w:lang w:eastAsia="zh-CN"/>
        </w:rPr>
        <w:t>第五章</w:t>
      </w:r>
      <w:r>
        <w:rPr>
          <w:rFonts w:hint="eastAsia" w:ascii="方正黑体_GBK" w:hAnsi="方正黑体_GBK" w:eastAsia="方正黑体_GBK" w:cs="方正黑体_GBK"/>
          <w:bCs/>
          <w:color w:val="auto"/>
          <w:kern w:val="0"/>
          <w:sz w:val="32"/>
          <w:szCs w:val="32"/>
          <w:highlight w:val="none"/>
          <w:lang w:val="en-US" w:eastAsia="zh-CN"/>
        </w:rPr>
        <w:t xml:space="preserve">  </w:t>
      </w:r>
      <w:r>
        <w:rPr>
          <w:rFonts w:hint="eastAsia" w:ascii="方正黑体_GBK" w:hAnsi="方正黑体_GBK" w:eastAsia="方正黑体_GBK" w:cs="方正黑体_GBK"/>
          <w:bCs/>
          <w:color w:val="auto"/>
          <w:kern w:val="0"/>
          <w:sz w:val="32"/>
          <w:szCs w:val="32"/>
          <w:highlight w:val="none"/>
          <w:lang w:eastAsia="zh-CN"/>
        </w:rPr>
        <w:t>附则</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第二十五条</w:t>
      </w:r>
      <w:r>
        <w:rPr>
          <w:rFonts w:hint="eastAsia" w:ascii="方正仿宋_GBK" w:hAnsi="方正仿宋_GBK" w:eastAsia="方正仿宋_GBK" w:cs="方正仿宋_GBK"/>
          <w:bCs/>
          <w:color w:val="auto"/>
          <w:kern w:val="0"/>
          <w:sz w:val="32"/>
          <w:szCs w:val="32"/>
          <w:highlight w:val="none"/>
          <w:lang w:val="en-US" w:eastAsia="zh-CN"/>
        </w:rPr>
        <w:t xml:space="preserve">  各预算部门、单位应当严格遵守工作纪律和保密纪律，切实增强网络安全意识，加强数据安全和保密管理，防止出现失泄密问题。</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第二十六条</w:t>
      </w:r>
      <w:r>
        <w:rPr>
          <w:rFonts w:hint="eastAsia" w:ascii="方正仿宋_GBK" w:hAnsi="方正仿宋_GBK" w:eastAsia="方正仿宋_GBK" w:cs="方正仿宋_GBK"/>
          <w:bCs/>
          <w:color w:val="auto"/>
          <w:kern w:val="0"/>
          <w:sz w:val="32"/>
          <w:szCs w:val="32"/>
          <w:highlight w:val="none"/>
          <w:lang w:val="en-US" w:eastAsia="zh-CN"/>
        </w:rPr>
        <w:t xml:space="preserve">  县区财政部门结合本地实际，制定本地区预算执行监管办法。</w:t>
      </w:r>
    </w:p>
    <w:p>
      <w:pPr>
        <w:pStyle w:val="6"/>
        <w:keepNext w:val="0"/>
        <w:keepLines w:val="0"/>
        <w:pageBreakBefore w:val="0"/>
        <w:widowControl w:val="0"/>
        <w:kinsoku/>
        <w:wordWrap/>
        <w:overflowPunct/>
        <w:topLinePunct w:val="0"/>
        <w:autoSpaceDE/>
        <w:autoSpaceDN/>
        <w:bidi w:val="0"/>
        <w:adjustRightInd/>
        <w:snapToGrid/>
        <w:spacing w:line="580" w:lineRule="exact"/>
        <w:ind w:firstLine="642"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
          <w:bCs w:val="0"/>
          <w:color w:val="auto"/>
          <w:kern w:val="0"/>
          <w:sz w:val="32"/>
          <w:szCs w:val="32"/>
          <w:highlight w:val="none"/>
          <w:lang w:eastAsia="zh-CN"/>
        </w:rPr>
        <w:t>第二十七条</w:t>
      </w:r>
      <w:r>
        <w:rPr>
          <w:rFonts w:hint="eastAsia" w:ascii="方正仿宋_GBK" w:hAnsi="方正仿宋_GBK" w:eastAsia="方正仿宋_GBK" w:cs="方正仿宋_GBK"/>
          <w:bCs/>
          <w:color w:val="auto"/>
          <w:kern w:val="0"/>
          <w:sz w:val="32"/>
          <w:szCs w:val="32"/>
          <w:highlight w:val="none"/>
          <w:lang w:val="en-US" w:eastAsia="zh-CN"/>
        </w:rPr>
        <w:t xml:space="preserve">  本办法自印发之日起施行。《亳州市市级财政国库动态监控管理暂行办法》</w:t>
      </w:r>
      <w:r>
        <w:rPr>
          <w:rFonts w:hint="default" w:ascii="Nimbus Roman No9 L" w:hAnsi="Nimbus Roman No9 L" w:eastAsia="方正仿宋_GBK" w:cs="Nimbus Roman No9 L"/>
          <w:bCs/>
          <w:color w:val="auto"/>
          <w:kern w:val="0"/>
          <w:sz w:val="32"/>
          <w:szCs w:val="32"/>
          <w:highlight w:val="none"/>
          <w:lang w:val="en-US" w:eastAsia="zh-CN"/>
        </w:rPr>
        <w:t>（财库〔2015〕109号）同时废止。</w:t>
      </w: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p>
    <w:p>
      <w:pPr>
        <w:pStyle w:val="6"/>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r>
        <w:rPr>
          <w:rFonts w:hint="eastAsia" w:ascii="方正仿宋_GBK" w:hAnsi="方正仿宋_GBK" w:eastAsia="方正仿宋_GBK" w:cs="方正仿宋_GBK"/>
          <w:bCs/>
          <w:color w:val="auto"/>
          <w:kern w:val="0"/>
          <w:sz w:val="32"/>
          <w:szCs w:val="32"/>
          <w:highlight w:val="none"/>
          <w:lang w:val="en-US" w:eastAsia="zh-CN"/>
        </w:rPr>
        <w:t>附件：亳州市预算执行监控流程图（市级适用）</w:t>
      </w:r>
    </w:p>
    <w:p>
      <w:pPr>
        <w:pStyle w:val="6"/>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p>
    <w:p>
      <w:pPr>
        <w:pStyle w:val="6"/>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p>
    <w:p>
      <w:pPr>
        <w:pStyle w:val="6"/>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p>
    <w:p>
      <w:pPr>
        <w:pStyle w:val="6"/>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p>
    <w:p>
      <w:pPr>
        <w:pStyle w:val="6"/>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K" w:hAnsi="方正仿宋_GBK" w:eastAsia="方正仿宋_GBK" w:cs="方正仿宋_GBK"/>
          <w:bCs/>
          <w:color w:val="auto"/>
          <w:kern w:val="0"/>
          <w:sz w:val="32"/>
          <w:szCs w:val="32"/>
          <w:highlight w:val="none"/>
          <w:lang w:val="en-US" w:eastAsia="zh-CN"/>
        </w:rPr>
      </w:pPr>
    </w:p>
    <w:p>
      <w:pPr>
        <w:tabs>
          <w:tab w:val="left" w:pos="7020"/>
          <w:tab w:val="left" w:pos="7200"/>
        </w:tabs>
        <w:spacing w:line="504" w:lineRule="auto"/>
        <w:rPr>
          <w:rFonts w:hint="eastAsia" w:ascii="方正小标宋简体" w:eastAsia="方正小标宋简体"/>
          <w:sz w:val="32"/>
          <w:szCs w:val="32"/>
        </w:rPr>
      </w:pPr>
    </w:p>
    <w:p>
      <w:pPr>
        <w:pStyle w:val="2"/>
        <w:rPr>
          <w:rFonts w:hint="eastAsia" w:ascii="方正小标宋简体" w:eastAsia="方正小标宋简体"/>
          <w:sz w:val="32"/>
          <w:szCs w:val="32"/>
        </w:rPr>
      </w:pPr>
    </w:p>
    <w:p>
      <w:pPr>
        <w:rPr>
          <w:rFonts w:hint="eastAsia" w:ascii="方正小标宋简体" w:eastAsia="方正小标宋简体"/>
          <w:sz w:val="32"/>
          <w:szCs w:val="32"/>
        </w:rPr>
      </w:pPr>
    </w:p>
    <w:p>
      <w:pPr>
        <w:pStyle w:val="2"/>
        <w:rPr>
          <w:rFonts w:hint="eastAsia" w:ascii="方正小标宋简体" w:eastAsia="方正小标宋简体"/>
          <w:sz w:val="32"/>
          <w:szCs w:val="32"/>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pStyle w:val="2"/>
        <w:rPr>
          <w:rFonts w:hint="eastAsia"/>
        </w:rPr>
      </w:pPr>
      <w:bookmarkStart w:id="0" w:name="_GoBack"/>
      <w:bookmarkEnd w:id="0"/>
    </w:p>
    <w:p>
      <w:pPr>
        <w:keepNext w:val="0"/>
        <w:keepLines w:val="0"/>
        <w:pageBreakBefore w:val="0"/>
        <w:widowControl w:val="0"/>
        <w:tabs>
          <w:tab w:val="left" w:pos="7560"/>
        </w:tabs>
        <w:kinsoku/>
        <w:wordWrap/>
        <w:overflowPunct/>
        <w:topLinePunct w:val="0"/>
        <w:autoSpaceDE/>
        <w:autoSpaceDN/>
        <w:bidi w:val="0"/>
        <w:adjustRightInd/>
        <w:snapToGrid/>
        <w:ind w:firstLine="280" w:firstLineChars="100"/>
        <w:textAlignment w:val="auto"/>
        <w:rPr>
          <w:rFonts w:hint="eastAsia" w:ascii="方正小标宋简体" w:eastAsia="方正小标宋简体"/>
          <w:sz w:val="32"/>
          <w:szCs w:val="32"/>
        </w:rPr>
      </w:pPr>
      <w:r>
        <w:rPr>
          <w:rFonts w:hint="eastAsia" w:ascii="仿宋_GB2312" w:eastAsia="仿宋_GB2312"/>
          <w:sz w:val="28"/>
          <w:szCs w:val="28"/>
        </w:rPr>
        <mc:AlternateContent>
          <mc:Choice Requires="wps">
            <w:drawing>
              <wp:anchor distT="0" distB="0" distL="114300" distR="114300" simplePos="0" relativeHeight="251671552" behindDoc="0" locked="0" layoutInCell="1" allowOverlap="1">
                <wp:simplePos x="0" y="0"/>
                <wp:positionH relativeFrom="column">
                  <wp:posOffset>19050</wp:posOffset>
                </wp:positionH>
                <wp:positionV relativeFrom="paragraph">
                  <wp:posOffset>5715</wp:posOffset>
                </wp:positionV>
                <wp:extent cx="5600700" cy="0"/>
                <wp:effectExtent l="0" t="9525" r="0" b="9525"/>
                <wp:wrapNone/>
                <wp:docPr id="10" name="直接连接符 10"/>
                <wp:cNvGraphicFramePr/>
                <a:graphic xmlns:a="http://schemas.openxmlformats.org/drawingml/2006/main">
                  <a:graphicData uri="http://schemas.microsoft.com/office/word/2010/wordprocessingShape">
                    <wps:wsp>
                      <wps:cNvCnPr/>
                      <wps:spPr>
                        <a:xfrm>
                          <a:off x="0" y="0"/>
                          <a:ext cx="5600700" cy="0"/>
                        </a:xfrm>
                        <a:prstGeom prst="line">
                          <a:avLst/>
                        </a:prstGeom>
                        <a:ln w="1905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1.5pt;margin-top:0.45pt;height:0pt;width:441pt;z-index:251671552;mso-width-relative:page;mso-height-relative:page;" filled="f" stroked="t" coordsize="21600,21600" o:gfxdata="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FgAAAGRycy9QSwECFAAUAAAACACHTuJAvkIF&#10;J9AAAAADAQAADwAAAAAAAAABACAAAAA4AAAAZHJzL2Rvd25yZXYueG1sUEsBAhQAFAAAAAgAh07i&#10;QOFUHufbAQAAnAMAAA4AAAAAAAAAAQAgAAAANQEAAGRycy9lMm9Eb2MueG1sUEsFBgAAAAAGAAYA&#10;WQEAAIIFAAAAAA==&#10;">
                <v:fill on="f" focussize="0,0"/>
                <v:stroke weight="1.5pt" color="#000000" joinstyle="round"/>
                <v:imagedata o:title=""/>
                <o:lock v:ext="edit" aspectratio="f"/>
              </v:line>
            </w:pict>
          </mc:Fallback>
        </mc:AlternateContent>
      </w:r>
      <w:r>
        <w:rPr>
          <w:rFonts w:hint="eastAsia" w:eastAsia="仿宋_GB2312"/>
          <w:sz w:val="28"/>
          <w:szCs w:val="28"/>
          <w:lang w:val="en-US" w:eastAsia="zh-CN"/>
        </w:rPr>
        <w:t>抄送：各县区财政局</w:t>
      </w:r>
    </w:p>
    <w:p>
      <w:pPr>
        <w:tabs>
          <w:tab w:val="left" w:pos="7020"/>
          <w:tab w:val="left" w:pos="7200"/>
          <w:tab w:val="left" w:pos="7560"/>
          <w:tab w:val="left" w:pos="8460"/>
        </w:tabs>
        <w:ind w:firstLine="280" w:firstLineChars="100"/>
        <w:rPr>
          <w:rFonts w:hint="default" w:ascii="方正仿宋_GBK" w:hAnsi="方正仿宋_GBK" w:eastAsia="方正仿宋_GBK" w:cs="方正仿宋_GBK"/>
          <w:bCs/>
          <w:color w:val="auto"/>
          <w:kern w:val="0"/>
          <w:sz w:val="32"/>
          <w:szCs w:val="32"/>
          <w:highlight w:val="none"/>
          <w:lang w:val="en-US" w:eastAsia="zh-CN"/>
        </w:rPr>
      </w:pPr>
      <w:r>
        <w:rPr>
          <w:sz w:val="28"/>
        </w:rPr>
        <mc:AlternateContent>
          <mc:Choice Requires="wps">
            <w:drawing>
              <wp:anchor distT="0" distB="0" distL="114300" distR="114300" simplePos="0" relativeHeight="251672576" behindDoc="0" locked="0" layoutInCell="1" allowOverlap="1">
                <wp:simplePos x="0" y="0"/>
                <wp:positionH relativeFrom="column">
                  <wp:posOffset>5080635</wp:posOffset>
                </wp:positionH>
                <wp:positionV relativeFrom="paragraph">
                  <wp:posOffset>497205</wp:posOffset>
                </wp:positionV>
                <wp:extent cx="723900" cy="276225"/>
                <wp:effectExtent l="0" t="0" r="0" b="9525"/>
                <wp:wrapNone/>
                <wp:docPr id="13" name="矩形 13"/>
                <wp:cNvGraphicFramePr/>
                <a:graphic xmlns:a="http://schemas.openxmlformats.org/drawingml/2006/main">
                  <a:graphicData uri="http://schemas.microsoft.com/office/word/2010/wordprocessingShape">
                    <wps:wsp>
                      <wps:cNvSpPr/>
                      <wps:spPr>
                        <a:xfrm>
                          <a:off x="5981065" y="9547860"/>
                          <a:ext cx="723900" cy="2762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00.05pt;margin-top:39.15pt;height:21.75pt;width:57pt;z-index:251672576;v-text-anchor:middle;mso-width-relative:page;mso-height-relative:page;" fillcolor="#FFFFFF [3201]" filled="t" stroked="f" coordsize="21600,21600" o:gfxdata="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BYAAABkcnMvUEsBAhQA&#10;FAAAAAgAh07iQHcHkrjVAAAACgEAAA8AAAAAAAAAAQAgAAAAOAAAAGRycy9kb3ducmV2LnhtbFBL&#10;AQIUABQAAAAIAIdO4kBVFencVQIAAIIEAAAOAAAAAAAAAAEAIAAAADoBAABkcnMvZTJvRG9jLnht&#10;bFBLBQYAAAAABgAGAFkBAAABBgAAAAA=&#10;">
                <v:fill on="t" focussize="0,0"/>
                <v:stroke on="f" weight="2pt"/>
                <v:imagedata o:title=""/>
                <o:lock v:ext="edit" aspectratio="f"/>
              </v:rect>
            </w:pict>
          </mc:Fallback>
        </mc:AlternateContent>
      </w:r>
      <w:r>
        <w:rPr>
          <w:rFonts w:hint="eastAsia" w:ascii="仿宋_GB2312" w:eastAsia="仿宋_GB2312"/>
          <w:sz w:val="28"/>
          <w:szCs w:val="28"/>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600700"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560070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0pt;height:0pt;width:441pt;z-index:251664384;mso-width-relative:page;mso-height-relative:page;" filled="f" stroked="t" coordsize="21600,21600" o:gfxdata="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OaV&#10;Dv/RAAAAAgEAAA8AAAAAAAAAAQAgAAAAOAAAAGRycy9kb3ducmV2LnhtbFBLAQIUABQAAAAIAIdO&#10;4kDPRrJ02wEAAJoDAAAOAAAAAAAAAAEAIAAAADYBAABkcnMvZTJvRG9jLnhtbFBLBQYAAAAABgAG&#10;AFkBAACDBQAAAAA=&#10;">
                <v:fill on="f" focussize="0,0"/>
                <v:stroke weight="1pt" color="#000000" joinstyle="round"/>
                <v:imagedata o:title=""/>
                <o:lock v:ext="edit" aspectratio="f"/>
              </v:line>
            </w:pict>
          </mc:Fallback>
        </mc:AlternateContent>
      </w:r>
      <w:r>
        <w:rPr>
          <w:rFonts w:hint="eastAsia" w:ascii="仿宋_GB2312" w:eastAsia="仿宋_GB2312"/>
          <w:sz w:val="28"/>
          <w:szCs w:val="28"/>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368300</wp:posOffset>
                </wp:positionV>
                <wp:extent cx="5600700" cy="0"/>
                <wp:effectExtent l="0" t="9525" r="0" b="9525"/>
                <wp:wrapNone/>
                <wp:docPr id="8" name="直接连接符 8"/>
                <wp:cNvGraphicFramePr/>
                <a:graphic xmlns:a="http://schemas.openxmlformats.org/drawingml/2006/main">
                  <a:graphicData uri="http://schemas.microsoft.com/office/word/2010/wordprocessingShape">
                    <wps:wsp>
                      <wps:cNvCnPr/>
                      <wps:spPr>
                        <a:xfrm>
                          <a:off x="0" y="0"/>
                          <a:ext cx="5600700" cy="0"/>
                        </a:xfrm>
                        <a:prstGeom prst="line">
                          <a:avLst/>
                        </a:prstGeom>
                        <a:ln w="1905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29pt;height:0pt;width:441pt;z-index:251663360;mso-width-relative:page;mso-height-relative:page;" filled="f" stroked="t" coordsize="21600,21600" o:gfxdata="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FgAAAGRycy9QSwECFAAUAAAACACHTuJA&#10;qwdfCdIAAAAGAQAADwAAAAAAAAABACAAAAA4AAAAZHJzL2Rvd25yZXYueG1sUEsBAhQAFAAAAAgA&#10;h07iQP5RUHTcAQAAmgMAAA4AAAAAAAAAAQAgAAAANwEAAGRycy9lMm9Eb2MueG1sUEsFBgAAAAAG&#10;AAYAWQEAAIUFAAAAAA==&#10;">
                <v:fill on="f" focussize="0,0"/>
                <v:stroke weight="1.5pt" color="#000000" joinstyle="round"/>
                <v:imagedata o:title=""/>
                <o:lock v:ext="edit" aspectratio="f"/>
              </v:line>
            </w:pict>
          </mc:Fallback>
        </mc:AlternateContent>
      </w:r>
      <w:r>
        <w:rPr>
          <w:rFonts w:hint="eastAsia" w:ascii="仿宋_GB2312" w:eastAsia="仿宋_GB2312"/>
          <w:sz w:val="28"/>
          <w:szCs w:val="28"/>
        </w:rPr>
        <w:t xml:space="preserve">亳州市财政局办公室                    </w:t>
      </w:r>
      <w:r>
        <w:rPr>
          <w:rFonts w:hint="eastAsia" w:ascii="仿宋_GB2312" w:eastAsia="仿宋_GB2312"/>
          <w:sz w:val="28"/>
          <w:szCs w:val="28"/>
          <w:lang w:val="en-US" w:eastAsia="zh-CN"/>
        </w:rPr>
        <w:t xml:space="preserve">  </w:t>
      </w:r>
      <w:r>
        <w:rPr>
          <w:rFonts w:eastAsia="仿宋_GB2312"/>
          <w:sz w:val="28"/>
          <w:szCs w:val="28"/>
        </w:rPr>
        <w:t>20</w:t>
      </w:r>
      <w:r>
        <w:rPr>
          <w:rFonts w:hint="eastAsia" w:eastAsia="仿宋_GB2312"/>
          <w:sz w:val="28"/>
          <w:szCs w:val="28"/>
        </w:rPr>
        <w:t>2</w:t>
      </w:r>
      <w:r>
        <w:rPr>
          <w:rFonts w:hint="eastAsia" w:eastAsia="仿宋_GB2312"/>
          <w:sz w:val="28"/>
          <w:szCs w:val="28"/>
          <w:lang w:val="en-US" w:eastAsia="zh-CN"/>
        </w:rPr>
        <w:t>6</w:t>
      </w:r>
      <w:r>
        <w:rPr>
          <w:rFonts w:eastAsia="仿宋_GB2312"/>
          <w:sz w:val="28"/>
          <w:szCs w:val="28"/>
        </w:rPr>
        <w:t>年</w:t>
      </w:r>
      <w:r>
        <w:rPr>
          <w:rFonts w:hint="eastAsia" w:eastAsia="仿宋_GB2312"/>
          <w:sz w:val="28"/>
          <w:szCs w:val="28"/>
        </w:rPr>
        <w:t>4</w:t>
      </w:r>
      <w:r>
        <w:rPr>
          <w:rFonts w:eastAsia="仿宋_GB2312"/>
          <w:sz w:val="28"/>
          <w:szCs w:val="28"/>
        </w:rPr>
        <w:t>月</w:t>
      </w:r>
      <w:r>
        <w:rPr>
          <w:rFonts w:hint="eastAsia" w:eastAsia="仿宋_GB2312"/>
          <w:sz w:val="28"/>
          <w:szCs w:val="28"/>
          <w:lang w:val="en-US" w:eastAsia="zh-CN"/>
        </w:rPr>
        <w:t>23</w:t>
      </w:r>
      <w:r>
        <w:rPr>
          <w:rFonts w:eastAsia="仿宋_GB2312"/>
          <w:sz w:val="28"/>
          <w:szCs w:val="28"/>
        </w:rPr>
        <w:t>日印发</w:t>
      </w:r>
    </w:p>
    <w:sectPr>
      <w:headerReference r:id="rId3" w:type="default"/>
      <w:footerReference r:id="rId4" w:type="default"/>
      <w:footerReference r:id="rId5" w:type="even"/>
      <w:pgSz w:w="11906" w:h="16838"/>
      <w:pgMar w:top="2098" w:right="1418" w:bottom="1701" w:left="1418" w:header="851" w:footer="113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moder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swiss"/>
    <w:pitch w:val="default"/>
    <w:sig w:usb0="00000000" w:usb1="00000000" w:usb2="00000000" w:usb3="00000000" w:csb0="2000019F" w:csb1="00000000"/>
  </w:font>
  <w:font w:name="Tahoma">
    <w:altName w:val="DejaVu Sans"/>
    <w:panose1 w:val="020B0604030504040204"/>
    <w:charset w:val="00"/>
    <w:family w:val="swiss"/>
    <w:pitch w:val="default"/>
    <w:sig w:usb0="00000000" w:usb1="00000000" w:usb2="00000029" w:usb3="00000000" w:csb0="000101FF" w:csb1="00000000"/>
  </w:font>
  <w:font w:name="仿宋_GB2312">
    <w:altName w:val="方正仿宋_GBK"/>
    <w:panose1 w:val="02010609030101010101"/>
    <w:charset w:val="86"/>
    <w:family w:val="modern"/>
    <w:pitch w:val="default"/>
    <w:sig w:usb0="00000000" w:usb1="00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Theme="minorEastAsia" w:hAnsiTheme="minorEastAsia" w:eastAsiaTheme="minorEastAsia"/>
        <w:sz w:val="24"/>
        <w:szCs w:val="24"/>
      </w:rPr>
    </w:pPr>
    <w:r>
      <w:rPr>
        <w:sz w:val="24"/>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17604124"/>
                            <w:docPartObj>
                              <w:docPartGallery w:val="autotext"/>
                            </w:docPartObj>
                          </w:sdtPr>
                          <w:sdtEndPr>
                            <w:rPr>
                              <w:rFonts w:asciiTheme="minorEastAsia" w:hAnsiTheme="minorEastAsia" w:eastAsiaTheme="minorEastAsia"/>
                              <w:sz w:val="24"/>
                              <w:szCs w:val="24"/>
                            </w:rPr>
                          </w:sdtEndPr>
                          <w:sdtContent>
                            <w:p>
                              <w:pPr>
                                <w:pStyle w:val="7"/>
                                <w:jc w:val="right"/>
                                <w:rPr>
                                  <w:rFonts w:asciiTheme="minorEastAsia" w:hAnsiTheme="minorEastAsia" w:eastAsiaTheme="minorEastAsia"/>
                                  <w:sz w:val="24"/>
                                  <w:szCs w:val="24"/>
                                </w:rPr>
                              </w:pP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PAGE   \* MERGEFORMAT</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lang w:val="zh-CN"/>
                                </w:rPr>
                                <w:t>-</w:t>
                              </w:r>
                              <w:r>
                                <w:rPr>
                                  <w:rFonts w:asciiTheme="minorEastAsia" w:hAnsiTheme="minorEastAsia" w:eastAsiaTheme="minorEastAsia"/>
                                  <w:sz w:val="24"/>
                                  <w:szCs w:val="24"/>
                                </w:rPr>
                                <w:t xml:space="preserve"> 1 -</w:t>
                              </w:r>
                              <w:r>
                                <w:rPr>
                                  <w:rFonts w:asciiTheme="minorEastAsia" w:hAnsiTheme="minorEastAsia" w:eastAsiaTheme="minorEastAsia"/>
                                  <w:sz w:val="24"/>
                                  <w:szCs w:val="24"/>
                                </w:rPr>
                                <w:fldChar w:fldCharType="end"/>
                              </w:r>
                            </w:p>
                          </w:sdtContent>
                        </w:sdt>
                        <w:p>
                          <w:pPr>
                            <w:pStyle w:val="2"/>
                          </w:pP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sdt>
                    <w:sdtPr>
                      <w:id w:val="-1117604124"/>
                      <w:docPartObj>
                        <w:docPartGallery w:val="autotext"/>
                      </w:docPartObj>
                    </w:sdtPr>
                    <w:sdtEndPr>
                      <w:rPr>
                        <w:rFonts w:asciiTheme="minorEastAsia" w:hAnsiTheme="minorEastAsia" w:eastAsiaTheme="minorEastAsia"/>
                        <w:sz w:val="24"/>
                        <w:szCs w:val="24"/>
                      </w:rPr>
                    </w:sdtEndPr>
                    <w:sdtContent>
                      <w:p>
                        <w:pPr>
                          <w:pStyle w:val="7"/>
                          <w:jc w:val="right"/>
                          <w:rPr>
                            <w:rFonts w:asciiTheme="minorEastAsia" w:hAnsiTheme="minorEastAsia" w:eastAsiaTheme="minorEastAsia"/>
                            <w:sz w:val="24"/>
                            <w:szCs w:val="24"/>
                          </w:rPr>
                        </w:pP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PAGE   \* MERGEFORMAT</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lang w:val="zh-CN"/>
                          </w:rPr>
                          <w:t>-</w:t>
                        </w:r>
                        <w:r>
                          <w:rPr>
                            <w:rFonts w:asciiTheme="minorEastAsia" w:hAnsiTheme="minorEastAsia" w:eastAsiaTheme="minorEastAsia"/>
                            <w:sz w:val="24"/>
                            <w:szCs w:val="24"/>
                          </w:rPr>
                          <w:t xml:space="preserve"> 1 -</w:t>
                        </w:r>
                        <w:r>
                          <w:rPr>
                            <w:rFonts w:asciiTheme="minorEastAsia" w:hAnsiTheme="minorEastAsia" w:eastAsiaTheme="minorEastAsia"/>
                            <w:sz w:val="24"/>
                            <w:szCs w:val="24"/>
                          </w:rPr>
                          <w:fldChar w:fldCharType="end"/>
                        </w:r>
                      </w:p>
                    </w:sdtContent>
                  </w:sdt>
                  <w:p>
                    <w:pPr>
                      <w:pStyle w:val="2"/>
                    </w:pPr>
                  </w:p>
                </w:txbxContent>
              </v:textbox>
            </v:shape>
          </w:pict>
        </mc:Fallback>
      </mc:AlternateContent>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3319034"/>
      <w:docPartObj>
        <w:docPartGallery w:val="autotext"/>
      </w:docPartObj>
    </w:sdtPr>
    <w:sdtEndPr>
      <w:rPr>
        <w:rFonts w:asciiTheme="minorEastAsia" w:hAnsiTheme="minorEastAsia" w:eastAsiaTheme="minorEastAsia"/>
        <w:sz w:val="24"/>
        <w:szCs w:val="24"/>
      </w:rPr>
    </w:sdtEndPr>
    <w:sdtContent>
      <w:p>
        <w:pPr>
          <w:pStyle w:val="7"/>
          <w:rPr>
            <w:rFonts w:asciiTheme="minorEastAsia" w:hAnsiTheme="minorEastAsia" w:eastAsiaTheme="minorEastAsia"/>
            <w:sz w:val="24"/>
            <w:szCs w:val="24"/>
          </w:rPr>
        </w:pP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PAGE   \* MERGEFORMAT</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lang w:val="zh-CN"/>
          </w:rPr>
          <w:t>-</w:t>
        </w:r>
        <w:r>
          <w:rPr>
            <w:rFonts w:asciiTheme="minorEastAsia" w:hAnsiTheme="minorEastAsia" w:eastAsiaTheme="minorEastAsia"/>
            <w:sz w:val="24"/>
            <w:szCs w:val="24"/>
          </w:rPr>
          <w:t xml:space="preserve"> 2 -</w:t>
        </w:r>
        <w:r>
          <w:rPr>
            <w:rFonts w:asciiTheme="minorEastAsia" w:hAnsiTheme="minorEastAsia" w:eastAsiaTheme="minorEastAsia"/>
            <w:sz w:val="24"/>
            <w:szCs w:val="24"/>
          </w:rPr>
          <w:fldChar w:fldCharType="end"/>
        </w:r>
      </w:p>
    </w:sdtContent>
  </w:sdt>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73A"/>
    <w:rsid w:val="0000036B"/>
    <w:rsid w:val="00001A31"/>
    <w:rsid w:val="00001B06"/>
    <w:rsid w:val="00002118"/>
    <w:rsid w:val="00003A70"/>
    <w:rsid w:val="0000517C"/>
    <w:rsid w:val="00005229"/>
    <w:rsid w:val="00005E7E"/>
    <w:rsid w:val="000063B3"/>
    <w:rsid w:val="000066E3"/>
    <w:rsid w:val="000067A5"/>
    <w:rsid w:val="00010332"/>
    <w:rsid w:val="0001175B"/>
    <w:rsid w:val="00013191"/>
    <w:rsid w:val="00013F7C"/>
    <w:rsid w:val="00015E76"/>
    <w:rsid w:val="0001606B"/>
    <w:rsid w:val="000161C5"/>
    <w:rsid w:val="00017F40"/>
    <w:rsid w:val="00020725"/>
    <w:rsid w:val="00020F71"/>
    <w:rsid w:val="0002106D"/>
    <w:rsid w:val="000217D3"/>
    <w:rsid w:val="00022B46"/>
    <w:rsid w:val="00023D41"/>
    <w:rsid w:val="000240F8"/>
    <w:rsid w:val="00026119"/>
    <w:rsid w:val="00026853"/>
    <w:rsid w:val="0002695A"/>
    <w:rsid w:val="000269A0"/>
    <w:rsid w:val="00030124"/>
    <w:rsid w:val="00030D4E"/>
    <w:rsid w:val="000317B9"/>
    <w:rsid w:val="00032009"/>
    <w:rsid w:val="000320E0"/>
    <w:rsid w:val="00032D2A"/>
    <w:rsid w:val="000336BD"/>
    <w:rsid w:val="00033756"/>
    <w:rsid w:val="00034153"/>
    <w:rsid w:val="00035402"/>
    <w:rsid w:val="000355B3"/>
    <w:rsid w:val="00036F85"/>
    <w:rsid w:val="000374C0"/>
    <w:rsid w:val="00037ABC"/>
    <w:rsid w:val="00041386"/>
    <w:rsid w:val="000414CD"/>
    <w:rsid w:val="00042A15"/>
    <w:rsid w:val="00042D1E"/>
    <w:rsid w:val="00044752"/>
    <w:rsid w:val="00045B00"/>
    <w:rsid w:val="00046146"/>
    <w:rsid w:val="00046B15"/>
    <w:rsid w:val="0004779E"/>
    <w:rsid w:val="00050728"/>
    <w:rsid w:val="000516BD"/>
    <w:rsid w:val="0005340A"/>
    <w:rsid w:val="00053A83"/>
    <w:rsid w:val="00054527"/>
    <w:rsid w:val="00054631"/>
    <w:rsid w:val="00056F8F"/>
    <w:rsid w:val="00056FCE"/>
    <w:rsid w:val="0005782E"/>
    <w:rsid w:val="0006068F"/>
    <w:rsid w:val="000606C2"/>
    <w:rsid w:val="00061993"/>
    <w:rsid w:val="0006263C"/>
    <w:rsid w:val="00066B3B"/>
    <w:rsid w:val="00067C24"/>
    <w:rsid w:val="00067CA7"/>
    <w:rsid w:val="00070181"/>
    <w:rsid w:val="00070588"/>
    <w:rsid w:val="00070E8A"/>
    <w:rsid w:val="0007102B"/>
    <w:rsid w:val="00071846"/>
    <w:rsid w:val="000718A5"/>
    <w:rsid w:val="00071AD4"/>
    <w:rsid w:val="0007221E"/>
    <w:rsid w:val="00073F8C"/>
    <w:rsid w:val="00075A60"/>
    <w:rsid w:val="0007695D"/>
    <w:rsid w:val="00080D0D"/>
    <w:rsid w:val="000830A6"/>
    <w:rsid w:val="00083CF1"/>
    <w:rsid w:val="00086C98"/>
    <w:rsid w:val="00086F42"/>
    <w:rsid w:val="00087029"/>
    <w:rsid w:val="00095B93"/>
    <w:rsid w:val="00096813"/>
    <w:rsid w:val="000970EB"/>
    <w:rsid w:val="0009768D"/>
    <w:rsid w:val="000A1923"/>
    <w:rsid w:val="000A2E86"/>
    <w:rsid w:val="000A3A79"/>
    <w:rsid w:val="000A3CD4"/>
    <w:rsid w:val="000A42C6"/>
    <w:rsid w:val="000A4DD1"/>
    <w:rsid w:val="000A51D6"/>
    <w:rsid w:val="000A5956"/>
    <w:rsid w:val="000A59B3"/>
    <w:rsid w:val="000B07E6"/>
    <w:rsid w:val="000B0814"/>
    <w:rsid w:val="000B1A5A"/>
    <w:rsid w:val="000B342B"/>
    <w:rsid w:val="000B3E03"/>
    <w:rsid w:val="000B40C8"/>
    <w:rsid w:val="000B5A24"/>
    <w:rsid w:val="000B6046"/>
    <w:rsid w:val="000B7626"/>
    <w:rsid w:val="000C1872"/>
    <w:rsid w:val="000C1E6B"/>
    <w:rsid w:val="000C21BD"/>
    <w:rsid w:val="000C554C"/>
    <w:rsid w:val="000C6B1A"/>
    <w:rsid w:val="000C7913"/>
    <w:rsid w:val="000C7B7A"/>
    <w:rsid w:val="000D0342"/>
    <w:rsid w:val="000D0A23"/>
    <w:rsid w:val="000D0F0D"/>
    <w:rsid w:val="000D23EB"/>
    <w:rsid w:val="000D2779"/>
    <w:rsid w:val="000D28B8"/>
    <w:rsid w:val="000D3322"/>
    <w:rsid w:val="000D38CD"/>
    <w:rsid w:val="000D54D7"/>
    <w:rsid w:val="000D5A45"/>
    <w:rsid w:val="000D5D1A"/>
    <w:rsid w:val="000D6AFD"/>
    <w:rsid w:val="000E1299"/>
    <w:rsid w:val="000E1C02"/>
    <w:rsid w:val="000E3EB3"/>
    <w:rsid w:val="000E79E6"/>
    <w:rsid w:val="000F0C61"/>
    <w:rsid w:val="000F2045"/>
    <w:rsid w:val="000F207B"/>
    <w:rsid w:val="000F2482"/>
    <w:rsid w:val="000F3B1E"/>
    <w:rsid w:val="000F3DB1"/>
    <w:rsid w:val="000F4D66"/>
    <w:rsid w:val="000F4F3F"/>
    <w:rsid w:val="000F51C8"/>
    <w:rsid w:val="000F6064"/>
    <w:rsid w:val="000F712D"/>
    <w:rsid w:val="00104C0E"/>
    <w:rsid w:val="00105285"/>
    <w:rsid w:val="00105380"/>
    <w:rsid w:val="001053EF"/>
    <w:rsid w:val="0010638C"/>
    <w:rsid w:val="00110288"/>
    <w:rsid w:val="001107A2"/>
    <w:rsid w:val="00110D8F"/>
    <w:rsid w:val="00112D46"/>
    <w:rsid w:val="001133C7"/>
    <w:rsid w:val="00114107"/>
    <w:rsid w:val="00114283"/>
    <w:rsid w:val="00114836"/>
    <w:rsid w:val="001149E2"/>
    <w:rsid w:val="00115470"/>
    <w:rsid w:val="0011777F"/>
    <w:rsid w:val="001177C0"/>
    <w:rsid w:val="00122AB3"/>
    <w:rsid w:val="00123C68"/>
    <w:rsid w:val="00124D14"/>
    <w:rsid w:val="00125478"/>
    <w:rsid w:val="00126ADF"/>
    <w:rsid w:val="0012766F"/>
    <w:rsid w:val="00131A21"/>
    <w:rsid w:val="00132034"/>
    <w:rsid w:val="001346B3"/>
    <w:rsid w:val="00134C81"/>
    <w:rsid w:val="001355AE"/>
    <w:rsid w:val="001359D1"/>
    <w:rsid w:val="00135A73"/>
    <w:rsid w:val="00136DA7"/>
    <w:rsid w:val="001400B0"/>
    <w:rsid w:val="0014283C"/>
    <w:rsid w:val="00144070"/>
    <w:rsid w:val="0014473C"/>
    <w:rsid w:val="00144C73"/>
    <w:rsid w:val="001455B6"/>
    <w:rsid w:val="001455E2"/>
    <w:rsid w:val="00146B20"/>
    <w:rsid w:val="0014747D"/>
    <w:rsid w:val="001479D3"/>
    <w:rsid w:val="00147E2C"/>
    <w:rsid w:val="00150E80"/>
    <w:rsid w:val="001511CC"/>
    <w:rsid w:val="001512CD"/>
    <w:rsid w:val="00152ED0"/>
    <w:rsid w:val="001534C2"/>
    <w:rsid w:val="00154006"/>
    <w:rsid w:val="0015456F"/>
    <w:rsid w:val="00154AA1"/>
    <w:rsid w:val="00155588"/>
    <w:rsid w:val="00155C96"/>
    <w:rsid w:val="001561DA"/>
    <w:rsid w:val="001568A7"/>
    <w:rsid w:val="00157C38"/>
    <w:rsid w:val="00160D36"/>
    <w:rsid w:val="0016173B"/>
    <w:rsid w:val="00161AA2"/>
    <w:rsid w:val="00164A63"/>
    <w:rsid w:val="00164EF7"/>
    <w:rsid w:val="00166432"/>
    <w:rsid w:val="001667D1"/>
    <w:rsid w:val="00166C88"/>
    <w:rsid w:val="00166C94"/>
    <w:rsid w:val="001703A4"/>
    <w:rsid w:val="00170D9B"/>
    <w:rsid w:val="00170EE6"/>
    <w:rsid w:val="001739D7"/>
    <w:rsid w:val="00174812"/>
    <w:rsid w:val="00177F6B"/>
    <w:rsid w:val="0018057E"/>
    <w:rsid w:val="00180EC4"/>
    <w:rsid w:val="00181858"/>
    <w:rsid w:val="00183318"/>
    <w:rsid w:val="001833F7"/>
    <w:rsid w:val="00183DE6"/>
    <w:rsid w:val="00185F12"/>
    <w:rsid w:val="0018750B"/>
    <w:rsid w:val="00192555"/>
    <w:rsid w:val="001947AE"/>
    <w:rsid w:val="001948CA"/>
    <w:rsid w:val="00194C98"/>
    <w:rsid w:val="0019573A"/>
    <w:rsid w:val="001959A1"/>
    <w:rsid w:val="001967A6"/>
    <w:rsid w:val="00196E36"/>
    <w:rsid w:val="00197719"/>
    <w:rsid w:val="00197B2F"/>
    <w:rsid w:val="001A04C3"/>
    <w:rsid w:val="001A1A45"/>
    <w:rsid w:val="001A54E8"/>
    <w:rsid w:val="001A6B0B"/>
    <w:rsid w:val="001A74D4"/>
    <w:rsid w:val="001B00C2"/>
    <w:rsid w:val="001B0B43"/>
    <w:rsid w:val="001B1086"/>
    <w:rsid w:val="001B1DE7"/>
    <w:rsid w:val="001B2273"/>
    <w:rsid w:val="001B6169"/>
    <w:rsid w:val="001B74CE"/>
    <w:rsid w:val="001C0209"/>
    <w:rsid w:val="001C10C4"/>
    <w:rsid w:val="001C124F"/>
    <w:rsid w:val="001C3092"/>
    <w:rsid w:val="001C30F8"/>
    <w:rsid w:val="001C65EF"/>
    <w:rsid w:val="001D17EA"/>
    <w:rsid w:val="001D27D0"/>
    <w:rsid w:val="001D767E"/>
    <w:rsid w:val="001E05EE"/>
    <w:rsid w:val="001E07EC"/>
    <w:rsid w:val="001E1A5D"/>
    <w:rsid w:val="001E1FBE"/>
    <w:rsid w:val="001E3250"/>
    <w:rsid w:val="001E3966"/>
    <w:rsid w:val="001E4AFF"/>
    <w:rsid w:val="001E4B7B"/>
    <w:rsid w:val="001E56E4"/>
    <w:rsid w:val="001E5A1B"/>
    <w:rsid w:val="001E791B"/>
    <w:rsid w:val="001F0039"/>
    <w:rsid w:val="001F006B"/>
    <w:rsid w:val="001F0BE1"/>
    <w:rsid w:val="001F0F41"/>
    <w:rsid w:val="001F1B8C"/>
    <w:rsid w:val="001F25F5"/>
    <w:rsid w:val="001F3C18"/>
    <w:rsid w:val="001F595B"/>
    <w:rsid w:val="001F6BCA"/>
    <w:rsid w:val="00200202"/>
    <w:rsid w:val="002003E3"/>
    <w:rsid w:val="002003F5"/>
    <w:rsid w:val="0020076E"/>
    <w:rsid w:val="00203991"/>
    <w:rsid w:val="0020446F"/>
    <w:rsid w:val="00204BAD"/>
    <w:rsid w:val="00204D55"/>
    <w:rsid w:val="00205054"/>
    <w:rsid w:val="002104AD"/>
    <w:rsid w:val="0021056A"/>
    <w:rsid w:val="002121FD"/>
    <w:rsid w:val="00212203"/>
    <w:rsid w:val="002134F5"/>
    <w:rsid w:val="00213C0B"/>
    <w:rsid w:val="002142E5"/>
    <w:rsid w:val="00215C39"/>
    <w:rsid w:val="0021620F"/>
    <w:rsid w:val="002168AA"/>
    <w:rsid w:val="00216A9C"/>
    <w:rsid w:val="00216CAA"/>
    <w:rsid w:val="002176B4"/>
    <w:rsid w:val="00220113"/>
    <w:rsid w:val="00220A98"/>
    <w:rsid w:val="00223E16"/>
    <w:rsid w:val="00225822"/>
    <w:rsid w:val="00225C1A"/>
    <w:rsid w:val="00225DA4"/>
    <w:rsid w:val="002264F6"/>
    <w:rsid w:val="002270C6"/>
    <w:rsid w:val="002275EB"/>
    <w:rsid w:val="0023025C"/>
    <w:rsid w:val="002305AD"/>
    <w:rsid w:val="00230918"/>
    <w:rsid w:val="00230C90"/>
    <w:rsid w:val="002326C9"/>
    <w:rsid w:val="0023295D"/>
    <w:rsid w:val="00233F84"/>
    <w:rsid w:val="0023440E"/>
    <w:rsid w:val="00235CC4"/>
    <w:rsid w:val="002365DF"/>
    <w:rsid w:val="00236851"/>
    <w:rsid w:val="00236C4F"/>
    <w:rsid w:val="00237AA2"/>
    <w:rsid w:val="00240180"/>
    <w:rsid w:val="00240DBA"/>
    <w:rsid w:val="002413C7"/>
    <w:rsid w:val="00241B7F"/>
    <w:rsid w:val="00242127"/>
    <w:rsid w:val="00243CA2"/>
    <w:rsid w:val="00244972"/>
    <w:rsid w:val="00244D61"/>
    <w:rsid w:val="00245D19"/>
    <w:rsid w:val="00245F38"/>
    <w:rsid w:val="00246C48"/>
    <w:rsid w:val="00247840"/>
    <w:rsid w:val="00250936"/>
    <w:rsid w:val="00251DA0"/>
    <w:rsid w:val="002527EF"/>
    <w:rsid w:val="00252BE0"/>
    <w:rsid w:val="00253908"/>
    <w:rsid w:val="00254959"/>
    <w:rsid w:val="0025602F"/>
    <w:rsid w:val="00256230"/>
    <w:rsid w:val="00256DE4"/>
    <w:rsid w:val="00257208"/>
    <w:rsid w:val="00262FC5"/>
    <w:rsid w:val="002630E1"/>
    <w:rsid w:val="00263DCD"/>
    <w:rsid w:val="002643A8"/>
    <w:rsid w:val="002668D8"/>
    <w:rsid w:val="002679DA"/>
    <w:rsid w:val="00271CD2"/>
    <w:rsid w:val="00272C4F"/>
    <w:rsid w:val="002730CA"/>
    <w:rsid w:val="0027333D"/>
    <w:rsid w:val="0027448D"/>
    <w:rsid w:val="002747BA"/>
    <w:rsid w:val="00275106"/>
    <w:rsid w:val="00276B99"/>
    <w:rsid w:val="002802FF"/>
    <w:rsid w:val="002808F4"/>
    <w:rsid w:val="0028120C"/>
    <w:rsid w:val="00281313"/>
    <w:rsid w:val="00281784"/>
    <w:rsid w:val="00281820"/>
    <w:rsid w:val="0028471A"/>
    <w:rsid w:val="00284AF3"/>
    <w:rsid w:val="00284EF4"/>
    <w:rsid w:val="00285782"/>
    <w:rsid w:val="00287612"/>
    <w:rsid w:val="002914A1"/>
    <w:rsid w:val="00295245"/>
    <w:rsid w:val="002975FD"/>
    <w:rsid w:val="00297DCE"/>
    <w:rsid w:val="002A1403"/>
    <w:rsid w:val="002A22CC"/>
    <w:rsid w:val="002A3A0D"/>
    <w:rsid w:val="002A44FD"/>
    <w:rsid w:val="002A539F"/>
    <w:rsid w:val="002A6C55"/>
    <w:rsid w:val="002A7CE6"/>
    <w:rsid w:val="002B03AA"/>
    <w:rsid w:val="002B0956"/>
    <w:rsid w:val="002B1E4D"/>
    <w:rsid w:val="002B3573"/>
    <w:rsid w:val="002B3BD6"/>
    <w:rsid w:val="002B628D"/>
    <w:rsid w:val="002B6A1C"/>
    <w:rsid w:val="002B6B42"/>
    <w:rsid w:val="002B7439"/>
    <w:rsid w:val="002C01E6"/>
    <w:rsid w:val="002C0CDE"/>
    <w:rsid w:val="002C1E45"/>
    <w:rsid w:val="002C25A7"/>
    <w:rsid w:val="002C4223"/>
    <w:rsid w:val="002C5527"/>
    <w:rsid w:val="002C62A7"/>
    <w:rsid w:val="002C79E7"/>
    <w:rsid w:val="002C7E0E"/>
    <w:rsid w:val="002D1088"/>
    <w:rsid w:val="002D1893"/>
    <w:rsid w:val="002D18A8"/>
    <w:rsid w:val="002D19BC"/>
    <w:rsid w:val="002D2373"/>
    <w:rsid w:val="002D2854"/>
    <w:rsid w:val="002D3088"/>
    <w:rsid w:val="002D3F7F"/>
    <w:rsid w:val="002D5DBE"/>
    <w:rsid w:val="002D66CB"/>
    <w:rsid w:val="002E0E73"/>
    <w:rsid w:val="002E10CE"/>
    <w:rsid w:val="002E1338"/>
    <w:rsid w:val="002E175F"/>
    <w:rsid w:val="002E2146"/>
    <w:rsid w:val="002E311D"/>
    <w:rsid w:val="002E386C"/>
    <w:rsid w:val="002E3B77"/>
    <w:rsid w:val="002E3CDB"/>
    <w:rsid w:val="002E4865"/>
    <w:rsid w:val="002E575E"/>
    <w:rsid w:val="002E58E7"/>
    <w:rsid w:val="002E75ED"/>
    <w:rsid w:val="002F00D7"/>
    <w:rsid w:val="002F0BE5"/>
    <w:rsid w:val="002F14F3"/>
    <w:rsid w:val="002F4134"/>
    <w:rsid w:val="002F4887"/>
    <w:rsid w:val="002F5077"/>
    <w:rsid w:val="002F5353"/>
    <w:rsid w:val="002F53D9"/>
    <w:rsid w:val="002F7B3A"/>
    <w:rsid w:val="00300B4D"/>
    <w:rsid w:val="003011DF"/>
    <w:rsid w:val="00301FBE"/>
    <w:rsid w:val="00303E51"/>
    <w:rsid w:val="00303FBA"/>
    <w:rsid w:val="003040C9"/>
    <w:rsid w:val="00305061"/>
    <w:rsid w:val="0030662D"/>
    <w:rsid w:val="0031080F"/>
    <w:rsid w:val="00311EB1"/>
    <w:rsid w:val="0031205C"/>
    <w:rsid w:val="00312084"/>
    <w:rsid w:val="003121C4"/>
    <w:rsid w:val="003132AF"/>
    <w:rsid w:val="0031330B"/>
    <w:rsid w:val="00313D1F"/>
    <w:rsid w:val="00316CAE"/>
    <w:rsid w:val="003173DA"/>
    <w:rsid w:val="00317B62"/>
    <w:rsid w:val="003201E5"/>
    <w:rsid w:val="003206B2"/>
    <w:rsid w:val="00320AF8"/>
    <w:rsid w:val="00321235"/>
    <w:rsid w:val="00321964"/>
    <w:rsid w:val="00322FD3"/>
    <w:rsid w:val="00324AEC"/>
    <w:rsid w:val="00327C1C"/>
    <w:rsid w:val="00327D9D"/>
    <w:rsid w:val="003324EA"/>
    <w:rsid w:val="003325B4"/>
    <w:rsid w:val="003327B1"/>
    <w:rsid w:val="00333B9A"/>
    <w:rsid w:val="00333DC1"/>
    <w:rsid w:val="003368AE"/>
    <w:rsid w:val="00337018"/>
    <w:rsid w:val="003374AA"/>
    <w:rsid w:val="00341401"/>
    <w:rsid w:val="00341A70"/>
    <w:rsid w:val="003428A0"/>
    <w:rsid w:val="003432EF"/>
    <w:rsid w:val="00346454"/>
    <w:rsid w:val="003478DB"/>
    <w:rsid w:val="003541E5"/>
    <w:rsid w:val="0035475E"/>
    <w:rsid w:val="003561A1"/>
    <w:rsid w:val="0035620C"/>
    <w:rsid w:val="00356ADC"/>
    <w:rsid w:val="00357032"/>
    <w:rsid w:val="00357F9A"/>
    <w:rsid w:val="00360802"/>
    <w:rsid w:val="0036227F"/>
    <w:rsid w:val="00363D26"/>
    <w:rsid w:val="00363E2C"/>
    <w:rsid w:val="00367336"/>
    <w:rsid w:val="003702C5"/>
    <w:rsid w:val="0037218B"/>
    <w:rsid w:val="00373763"/>
    <w:rsid w:val="00373E62"/>
    <w:rsid w:val="00374679"/>
    <w:rsid w:val="00374D98"/>
    <w:rsid w:val="003750BE"/>
    <w:rsid w:val="003770E8"/>
    <w:rsid w:val="003815D9"/>
    <w:rsid w:val="003824AA"/>
    <w:rsid w:val="003832B8"/>
    <w:rsid w:val="003841B9"/>
    <w:rsid w:val="003850F4"/>
    <w:rsid w:val="003853AA"/>
    <w:rsid w:val="00385C31"/>
    <w:rsid w:val="00386A85"/>
    <w:rsid w:val="00387EA5"/>
    <w:rsid w:val="003910DD"/>
    <w:rsid w:val="0039169A"/>
    <w:rsid w:val="00392238"/>
    <w:rsid w:val="00393438"/>
    <w:rsid w:val="003935CF"/>
    <w:rsid w:val="0039360E"/>
    <w:rsid w:val="00394AA2"/>
    <w:rsid w:val="0039578B"/>
    <w:rsid w:val="00396435"/>
    <w:rsid w:val="003A0250"/>
    <w:rsid w:val="003A0399"/>
    <w:rsid w:val="003A1774"/>
    <w:rsid w:val="003A1DDE"/>
    <w:rsid w:val="003A53AF"/>
    <w:rsid w:val="003A6176"/>
    <w:rsid w:val="003A6DB8"/>
    <w:rsid w:val="003A7B00"/>
    <w:rsid w:val="003A7E00"/>
    <w:rsid w:val="003B07BE"/>
    <w:rsid w:val="003B0EF7"/>
    <w:rsid w:val="003B1BBB"/>
    <w:rsid w:val="003B1FF0"/>
    <w:rsid w:val="003B2202"/>
    <w:rsid w:val="003B2352"/>
    <w:rsid w:val="003B3A1D"/>
    <w:rsid w:val="003B3D8E"/>
    <w:rsid w:val="003B5180"/>
    <w:rsid w:val="003B5356"/>
    <w:rsid w:val="003B7761"/>
    <w:rsid w:val="003C0031"/>
    <w:rsid w:val="003C0C1F"/>
    <w:rsid w:val="003C0E41"/>
    <w:rsid w:val="003C0E7E"/>
    <w:rsid w:val="003C273A"/>
    <w:rsid w:val="003C360F"/>
    <w:rsid w:val="003C4330"/>
    <w:rsid w:val="003C4A25"/>
    <w:rsid w:val="003C5F4D"/>
    <w:rsid w:val="003C743D"/>
    <w:rsid w:val="003D0805"/>
    <w:rsid w:val="003D107A"/>
    <w:rsid w:val="003D1A07"/>
    <w:rsid w:val="003D2BF7"/>
    <w:rsid w:val="003D3629"/>
    <w:rsid w:val="003D3DCD"/>
    <w:rsid w:val="003D432D"/>
    <w:rsid w:val="003D43EA"/>
    <w:rsid w:val="003D6AE0"/>
    <w:rsid w:val="003E00A6"/>
    <w:rsid w:val="003E07D6"/>
    <w:rsid w:val="003E0EE3"/>
    <w:rsid w:val="003E1047"/>
    <w:rsid w:val="003E2484"/>
    <w:rsid w:val="003E4D84"/>
    <w:rsid w:val="003E59F0"/>
    <w:rsid w:val="003E5AA3"/>
    <w:rsid w:val="003E60C8"/>
    <w:rsid w:val="003E62A9"/>
    <w:rsid w:val="003E702E"/>
    <w:rsid w:val="003E774D"/>
    <w:rsid w:val="003F02AB"/>
    <w:rsid w:val="003F197D"/>
    <w:rsid w:val="003F23DE"/>
    <w:rsid w:val="003F252B"/>
    <w:rsid w:val="003F2D8F"/>
    <w:rsid w:val="003F41F2"/>
    <w:rsid w:val="003F4DF7"/>
    <w:rsid w:val="003F6DF7"/>
    <w:rsid w:val="003F78B5"/>
    <w:rsid w:val="003F7E11"/>
    <w:rsid w:val="00400032"/>
    <w:rsid w:val="004000ED"/>
    <w:rsid w:val="00400D6F"/>
    <w:rsid w:val="004015F3"/>
    <w:rsid w:val="004030FF"/>
    <w:rsid w:val="00404B19"/>
    <w:rsid w:val="004077B2"/>
    <w:rsid w:val="00410794"/>
    <w:rsid w:val="00410B64"/>
    <w:rsid w:val="00410C54"/>
    <w:rsid w:val="00411142"/>
    <w:rsid w:val="00411965"/>
    <w:rsid w:val="00412401"/>
    <w:rsid w:val="0041272F"/>
    <w:rsid w:val="004127C8"/>
    <w:rsid w:val="00412F29"/>
    <w:rsid w:val="004147B9"/>
    <w:rsid w:val="0041573D"/>
    <w:rsid w:val="00416797"/>
    <w:rsid w:val="004168CE"/>
    <w:rsid w:val="0042029A"/>
    <w:rsid w:val="00420700"/>
    <w:rsid w:val="004211F8"/>
    <w:rsid w:val="00421FB1"/>
    <w:rsid w:val="0042206A"/>
    <w:rsid w:val="00422D1B"/>
    <w:rsid w:val="00424110"/>
    <w:rsid w:val="004247CD"/>
    <w:rsid w:val="004253F5"/>
    <w:rsid w:val="0042554A"/>
    <w:rsid w:val="004266DB"/>
    <w:rsid w:val="00430CA0"/>
    <w:rsid w:val="00431B91"/>
    <w:rsid w:val="00432087"/>
    <w:rsid w:val="00432706"/>
    <w:rsid w:val="004356EB"/>
    <w:rsid w:val="004357CE"/>
    <w:rsid w:val="0043600C"/>
    <w:rsid w:val="004362FF"/>
    <w:rsid w:val="00436AE8"/>
    <w:rsid w:val="00437EFD"/>
    <w:rsid w:val="00440D7B"/>
    <w:rsid w:val="00441017"/>
    <w:rsid w:val="00441099"/>
    <w:rsid w:val="00441645"/>
    <w:rsid w:val="004421F9"/>
    <w:rsid w:val="0044275E"/>
    <w:rsid w:val="0044277B"/>
    <w:rsid w:val="004472D1"/>
    <w:rsid w:val="00451AC7"/>
    <w:rsid w:val="00451CD4"/>
    <w:rsid w:val="0045385D"/>
    <w:rsid w:val="00453C22"/>
    <w:rsid w:val="00453CAB"/>
    <w:rsid w:val="004541F7"/>
    <w:rsid w:val="00457977"/>
    <w:rsid w:val="0046032B"/>
    <w:rsid w:val="004621E0"/>
    <w:rsid w:val="0046226A"/>
    <w:rsid w:val="00462DF0"/>
    <w:rsid w:val="00463B10"/>
    <w:rsid w:val="00463BA9"/>
    <w:rsid w:val="004653D9"/>
    <w:rsid w:val="00466091"/>
    <w:rsid w:val="0047000B"/>
    <w:rsid w:val="00470AEC"/>
    <w:rsid w:val="00470E2E"/>
    <w:rsid w:val="0047197D"/>
    <w:rsid w:val="00471D8F"/>
    <w:rsid w:val="004726DA"/>
    <w:rsid w:val="00473666"/>
    <w:rsid w:val="00476446"/>
    <w:rsid w:val="004767D2"/>
    <w:rsid w:val="00476AED"/>
    <w:rsid w:val="0048183A"/>
    <w:rsid w:val="00481D77"/>
    <w:rsid w:val="0048330F"/>
    <w:rsid w:val="004834C1"/>
    <w:rsid w:val="004835B2"/>
    <w:rsid w:val="0048380B"/>
    <w:rsid w:val="00484CD9"/>
    <w:rsid w:val="0048509E"/>
    <w:rsid w:val="00487509"/>
    <w:rsid w:val="004901B1"/>
    <w:rsid w:val="0049128B"/>
    <w:rsid w:val="00491816"/>
    <w:rsid w:val="004922C5"/>
    <w:rsid w:val="0049386A"/>
    <w:rsid w:val="00494BC3"/>
    <w:rsid w:val="0049555F"/>
    <w:rsid w:val="004964B8"/>
    <w:rsid w:val="004973F3"/>
    <w:rsid w:val="00497B2D"/>
    <w:rsid w:val="004A0F52"/>
    <w:rsid w:val="004A1082"/>
    <w:rsid w:val="004A28E5"/>
    <w:rsid w:val="004A2EF1"/>
    <w:rsid w:val="004A2F44"/>
    <w:rsid w:val="004A3385"/>
    <w:rsid w:val="004A408A"/>
    <w:rsid w:val="004A48A7"/>
    <w:rsid w:val="004A55DE"/>
    <w:rsid w:val="004A6122"/>
    <w:rsid w:val="004A6223"/>
    <w:rsid w:val="004A712D"/>
    <w:rsid w:val="004B02B0"/>
    <w:rsid w:val="004B04A0"/>
    <w:rsid w:val="004B3EC8"/>
    <w:rsid w:val="004B42EA"/>
    <w:rsid w:val="004B450A"/>
    <w:rsid w:val="004B4E0B"/>
    <w:rsid w:val="004B5872"/>
    <w:rsid w:val="004B5E0D"/>
    <w:rsid w:val="004B622E"/>
    <w:rsid w:val="004B78A7"/>
    <w:rsid w:val="004C1CAB"/>
    <w:rsid w:val="004C2C62"/>
    <w:rsid w:val="004C2D18"/>
    <w:rsid w:val="004C4946"/>
    <w:rsid w:val="004C4A0F"/>
    <w:rsid w:val="004C53FA"/>
    <w:rsid w:val="004C574E"/>
    <w:rsid w:val="004C5DC5"/>
    <w:rsid w:val="004D0150"/>
    <w:rsid w:val="004D144D"/>
    <w:rsid w:val="004D2431"/>
    <w:rsid w:val="004D2854"/>
    <w:rsid w:val="004D2F3B"/>
    <w:rsid w:val="004D4516"/>
    <w:rsid w:val="004D53B4"/>
    <w:rsid w:val="004D53B9"/>
    <w:rsid w:val="004D78F5"/>
    <w:rsid w:val="004E0A62"/>
    <w:rsid w:val="004E116B"/>
    <w:rsid w:val="004E1683"/>
    <w:rsid w:val="004E2641"/>
    <w:rsid w:val="004E27A1"/>
    <w:rsid w:val="004E31D4"/>
    <w:rsid w:val="004E3F5D"/>
    <w:rsid w:val="004E4580"/>
    <w:rsid w:val="004E5F13"/>
    <w:rsid w:val="004E64D2"/>
    <w:rsid w:val="004F0D66"/>
    <w:rsid w:val="004F1094"/>
    <w:rsid w:val="004F1314"/>
    <w:rsid w:val="004F2D15"/>
    <w:rsid w:val="004F3AA5"/>
    <w:rsid w:val="004F47C5"/>
    <w:rsid w:val="004F4F35"/>
    <w:rsid w:val="004F6F60"/>
    <w:rsid w:val="004F76AD"/>
    <w:rsid w:val="00500393"/>
    <w:rsid w:val="00500ABF"/>
    <w:rsid w:val="00500C66"/>
    <w:rsid w:val="005029F2"/>
    <w:rsid w:val="00504B81"/>
    <w:rsid w:val="00505616"/>
    <w:rsid w:val="00505C41"/>
    <w:rsid w:val="005064FD"/>
    <w:rsid w:val="00506914"/>
    <w:rsid w:val="0050774B"/>
    <w:rsid w:val="00507EAE"/>
    <w:rsid w:val="0051001C"/>
    <w:rsid w:val="0051215F"/>
    <w:rsid w:val="0051407C"/>
    <w:rsid w:val="00514352"/>
    <w:rsid w:val="00514A87"/>
    <w:rsid w:val="0051643C"/>
    <w:rsid w:val="00516454"/>
    <w:rsid w:val="00516C16"/>
    <w:rsid w:val="005200F6"/>
    <w:rsid w:val="00520F01"/>
    <w:rsid w:val="00520F0A"/>
    <w:rsid w:val="005221BD"/>
    <w:rsid w:val="005222BE"/>
    <w:rsid w:val="005223F1"/>
    <w:rsid w:val="00522605"/>
    <w:rsid w:val="00522786"/>
    <w:rsid w:val="005234D4"/>
    <w:rsid w:val="005236C8"/>
    <w:rsid w:val="00523D92"/>
    <w:rsid w:val="00525D2C"/>
    <w:rsid w:val="00526570"/>
    <w:rsid w:val="00527A65"/>
    <w:rsid w:val="005329B9"/>
    <w:rsid w:val="0053386D"/>
    <w:rsid w:val="0053436D"/>
    <w:rsid w:val="00536D52"/>
    <w:rsid w:val="00540C41"/>
    <w:rsid w:val="00542673"/>
    <w:rsid w:val="00543D72"/>
    <w:rsid w:val="005444F9"/>
    <w:rsid w:val="00545301"/>
    <w:rsid w:val="00545CA4"/>
    <w:rsid w:val="005460DB"/>
    <w:rsid w:val="00546897"/>
    <w:rsid w:val="00546A09"/>
    <w:rsid w:val="00546B2F"/>
    <w:rsid w:val="0054719F"/>
    <w:rsid w:val="0055338F"/>
    <w:rsid w:val="00553438"/>
    <w:rsid w:val="0055374E"/>
    <w:rsid w:val="00553E9C"/>
    <w:rsid w:val="00553F46"/>
    <w:rsid w:val="00557243"/>
    <w:rsid w:val="005609E2"/>
    <w:rsid w:val="00562526"/>
    <w:rsid w:val="00563097"/>
    <w:rsid w:val="005630A3"/>
    <w:rsid w:val="0056331D"/>
    <w:rsid w:val="00565DB7"/>
    <w:rsid w:val="00566347"/>
    <w:rsid w:val="005664D5"/>
    <w:rsid w:val="00570100"/>
    <w:rsid w:val="00573581"/>
    <w:rsid w:val="00573D09"/>
    <w:rsid w:val="00574AED"/>
    <w:rsid w:val="00574B2B"/>
    <w:rsid w:val="00575EA4"/>
    <w:rsid w:val="00575EC7"/>
    <w:rsid w:val="005762A7"/>
    <w:rsid w:val="0057634E"/>
    <w:rsid w:val="00576A81"/>
    <w:rsid w:val="005777E9"/>
    <w:rsid w:val="00577B63"/>
    <w:rsid w:val="0058051A"/>
    <w:rsid w:val="005806DF"/>
    <w:rsid w:val="00580A7E"/>
    <w:rsid w:val="0058143A"/>
    <w:rsid w:val="005819BC"/>
    <w:rsid w:val="005821FA"/>
    <w:rsid w:val="00583E1F"/>
    <w:rsid w:val="00583E20"/>
    <w:rsid w:val="00584694"/>
    <w:rsid w:val="00585198"/>
    <w:rsid w:val="00586277"/>
    <w:rsid w:val="005862FB"/>
    <w:rsid w:val="005867CC"/>
    <w:rsid w:val="00587AE7"/>
    <w:rsid w:val="00590FA6"/>
    <w:rsid w:val="00591389"/>
    <w:rsid w:val="005916E0"/>
    <w:rsid w:val="00591ECC"/>
    <w:rsid w:val="00592096"/>
    <w:rsid w:val="005937CF"/>
    <w:rsid w:val="005943E8"/>
    <w:rsid w:val="00594A02"/>
    <w:rsid w:val="00594D0B"/>
    <w:rsid w:val="00595CA2"/>
    <w:rsid w:val="00596665"/>
    <w:rsid w:val="00596B2A"/>
    <w:rsid w:val="005A0ABC"/>
    <w:rsid w:val="005A1A09"/>
    <w:rsid w:val="005A22E9"/>
    <w:rsid w:val="005A3525"/>
    <w:rsid w:val="005A424C"/>
    <w:rsid w:val="005A451F"/>
    <w:rsid w:val="005A4F49"/>
    <w:rsid w:val="005A676A"/>
    <w:rsid w:val="005A68DD"/>
    <w:rsid w:val="005B38E7"/>
    <w:rsid w:val="005B46ED"/>
    <w:rsid w:val="005B48BF"/>
    <w:rsid w:val="005B4AF8"/>
    <w:rsid w:val="005B57E2"/>
    <w:rsid w:val="005B7249"/>
    <w:rsid w:val="005B78C2"/>
    <w:rsid w:val="005C0BA3"/>
    <w:rsid w:val="005C2208"/>
    <w:rsid w:val="005C2402"/>
    <w:rsid w:val="005C27B1"/>
    <w:rsid w:val="005C3F38"/>
    <w:rsid w:val="005C3FC2"/>
    <w:rsid w:val="005C4417"/>
    <w:rsid w:val="005C5037"/>
    <w:rsid w:val="005C5551"/>
    <w:rsid w:val="005C555D"/>
    <w:rsid w:val="005C55F9"/>
    <w:rsid w:val="005D0A54"/>
    <w:rsid w:val="005D11F6"/>
    <w:rsid w:val="005D226F"/>
    <w:rsid w:val="005D4381"/>
    <w:rsid w:val="005D7915"/>
    <w:rsid w:val="005E2107"/>
    <w:rsid w:val="005E3C03"/>
    <w:rsid w:val="005E54C9"/>
    <w:rsid w:val="005E54DD"/>
    <w:rsid w:val="005E5A96"/>
    <w:rsid w:val="005E72EE"/>
    <w:rsid w:val="005E7AB8"/>
    <w:rsid w:val="005F0498"/>
    <w:rsid w:val="005F0C0D"/>
    <w:rsid w:val="005F12FB"/>
    <w:rsid w:val="005F17CE"/>
    <w:rsid w:val="005F23D2"/>
    <w:rsid w:val="005F40D0"/>
    <w:rsid w:val="005F433D"/>
    <w:rsid w:val="005F4F49"/>
    <w:rsid w:val="005F5A01"/>
    <w:rsid w:val="005F77AC"/>
    <w:rsid w:val="005F7D27"/>
    <w:rsid w:val="006004B4"/>
    <w:rsid w:val="006012A2"/>
    <w:rsid w:val="006018AE"/>
    <w:rsid w:val="00603A65"/>
    <w:rsid w:val="006045C1"/>
    <w:rsid w:val="00606CAB"/>
    <w:rsid w:val="00606F56"/>
    <w:rsid w:val="00607A31"/>
    <w:rsid w:val="00607E18"/>
    <w:rsid w:val="0061045F"/>
    <w:rsid w:val="00610C94"/>
    <w:rsid w:val="00611AF1"/>
    <w:rsid w:val="00611E2C"/>
    <w:rsid w:val="00612560"/>
    <w:rsid w:val="00612E5A"/>
    <w:rsid w:val="00613965"/>
    <w:rsid w:val="00614F6F"/>
    <w:rsid w:val="006152F0"/>
    <w:rsid w:val="0061737B"/>
    <w:rsid w:val="00620F84"/>
    <w:rsid w:val="006215B6"/>
    <w:rsid w:val="0062459C"/>
    <w:rsid w:val="00624A0E"/>
    <w:rsid w:val="00625780"/>
    <w:rsid w:val="00626A94"/>
    <w:rsid w:val="00627B3C"/>
    <w:rsid w:val="00627DDE"/>
    <w:rsid w:val="006308D1"/>
    <w:rsid w:val="006317D3"/>
    <w:rsid w:val="006318EF"/>
    <w:rsid w:val="00631E3C"/>
    <w:rsid w:val="0063295D"/>
    <w:rsid w:val="00633B71"/>
    <w:rsid w:val="00633C0B"/>
    <w:rsid w:val="0063470E"/>
    <w:rsid w:val="00634E45"/>
    <w:rsid w:val="00636359"/>
    <w:rsid w:val="0063654A"/>
    <w:rsid w:val="00637860"/>
    <w:rsid w:val="00643D56"/>
    <w:rsid w:val="00644B49"/>
    <w:rsid w:val="00645A29"/>
    <w:rsid w:val="0065058C"/>
    <w:rsid w:val="00651D38"/>
    <w:rsid w:val="00652912"/>
    <w:rsid w:val="006530DA"/>
    <w:rsid w:val="006535BA"/>
    <w:rsid w:val="00653608"/>
    <w:rsid w:val="00653AAE"/>
    <w:rsid w:val="00654FDF"/>
    <w:rsid w:val="00655292"/>
    <w:rsid w:val="006577E7"/>
    <w:rsid w:val="006600B0"/>
    <w:rsid w:val="00660125"/>
    <w:rsid w:val="0066035F"/>
    <w:rsid w:val="00660B61"/>
    <w:rsid w:val="00660C6F"/>
    <w:rsid w:val="006610F2"/>
    <w:rsid w:val="00661692"/>
    <w:rsid w:val="0066179E"/>
    <w:rsid w:val="006629BC"/>
    <w:rsid w:val="00662CDE"/>
    <w:rsid w:val="00663AB3"/>
    <w:rsid w:val="00664F92"/>
    <w:rsid w:val="006659F8"/>
    <w:rsid w:val="00672420"/>
    <w:rsid w:val="0067392B"/>
    <w:rsid w:val="0067560C"/>
    <w:rsid w:val="00675C96"/>
    <w:rsid w:val="006779D4"/>
    <w:rsid w:val="00680437"/>
    <w:rsid w:val="00681A78"/>
    <w:rsid w:val="00681C91"/>
    <w:rsid w:val="0068245B"/>
    <w:rsid w:val="006827C3"/>
    <w:rsid w:val="00683024"/>
    <w:rsid w:val="00683413"/>
    <w:rsid w:val="00684CE4"/>
    <w:rsid w:val="006862D1"/>
    <w:rsid w:val="0069016B"/>
    <w:rsid w:val="00691D77"/>
    <w:rsid w:val="006936D9"/>
    <w:rsid w:val="00694FE0"/>
    <w:rsid w:val="006962EE"/>
    <w:rsid w:val="006A12A3"/>
    <w:rsid w:val="006A4477"/>
    <w:rsid w:val="006A4737"/>
    <w:rsid w:val="006A4833"/>
    <w:rsid w:val="006A511C"/>
    <w:rsid w:val="006A653D"/>
    <w:rsid w:val="006A7107"/>
    <w:rsid w:val="006A727E"/>
    <w:rsid w:val="006A7492"/>
    <w:rsid w:val="006B0936"/>
    <w:rsid w:val="006B138F"/>
    <w:rsid w:val="006B28A4"/>
    <w:rsid w:val="006B3314"/>
    <w:rsid w:val="006B33AA"/>
    <w:rsid w:val="006B41CB"/>
    <w:rsid w:val="006B56AC"/>
    <w:rsid w:val="006B7B5B"/>
    <w:rsid w:val="006C003E"/>
    <w:rsid w:val="006C0191"/>
    <w:rsid w:val="006C13F6"/>
    <w:rsid w:val="006C1CFF"/>
    <w:rsid w:val="006C2BEB"/>
    <w:rsid w:val="006C2EFC"/>
    <w:rsid w:val="006C33DF"/>
    <w:rsid w:val="006C3672"/>
    <w:rsid w:val="006C78EE"/>
    <w:rsid w:val="006D003D"/>
    <w:rsid w:val="006D00B2"/>
    <w:rsid w:val="006D18DE"/>
    <w:rsid w:val="006D20C5"/>
    <w:rsid w:val="006D20C6"/>
    <w:rsid w:val="006D47B4"/>
    <w:rsid w:val="006D4AA1"/>
    <w:rsid w:val="006D58C6"/>
    <w:rsid w:val="006D5B3F"/>
    <w:rsid w:val="006D5EF2"/>
    <w:rsid w:val="006D6D0F"/>
    <w:rsid w:val="006D7F22"/>
    <w:rsid w:val="006E0BA2"/>
    <w:rsid w:val="006E13D8"/>
    <w:rsid w:val="006E1AA9"/>
    <w:rsid w:val="006E1D8F"/>
    <w:rsid w:val="006E228B"/>
    <w:rsid w:val="006E2678"/>
    <w:rsid w:val="006E436D"/>
    <w:rsid w:val="006E48EE"/>
    <w:rsid w:val="006E4B95"/>
    <w:rsid w:val="006E64CC"/>
    <w:rsid w:val="006E6714"/>
    <w:rsid w:val="006E6B7F"/>
    <w:rsid w:val="006E74FD"/>
    <w:rsid w:val="006E79EC"/>
    <w:rsid w:val="006E7BD7"/>
    <w:rsid w:val="006E7D83"/>
    <w:rsid w:val="006F08C2"/>
    <w:rsid w:val="006F312C"/>
    <w:rsid w:val="006F340A"/>
    <w:rsid w:val="006F4ED7"/>
    <w:rsid w:val="00700BCE"/>
    <w:rsid w:val="00702A4A"/>
    <w:rsid w:val="007030A5"/>
    <w:rsid w:val="00703840"/>
    <w:rsid w:val="00703CEE"/>
    <w:rsid w:val="0070507F"/>
    <w:rsid w:val="00705292"/>
    <w:rsid w:val="00705875"/>
    <w:rsid w:val="0070718A"/>
    <w:rsid w:val="00707C05"/>
    <w:rsid w:val="00710304"/>
    <w:rsid w:val="00710C9F"/>
    <w:rsid w:val="00711B52"/>
    <w:rsid w:val="00712AC6"/>
    <w:rsid w:val="00714D09"/>
    <w:rsid w:val="0071504C"/>
    <w:rsid w:val="0071668A"/>
    <w:rsid w:val="00716A63"/>
    <w:rsid w:val="00717B9E"/>
    <w:rsid w:val="00717CC3"/>
    <w:rsid w:val="0072057A"/>
    <w:rsid w:val="007218DC"/>
    <w:rsid w:val="007237AA"/>
    <w:rsid w:val="00723C8D"/>
    <w:rsid w:val="00724386"/>
    <w:rsid w:val="007248EB"/>
    <w:rsid w:val="007270C0"/>
    <w:rsid w:val="00727CB8"/>
    <w:rsid w:val="007307AA"/>
    <w:rsid w:val="00731372"/>
    <w:rsid w:val="007331E9"/>
    <w:rsid w:val="007345A0"/>
    <w:rsid w:val="00735398"/>
    <w:rsid w:val="00740066"/>
    <w:rsid w:val="00740EFB"/>
    <w:rsid w:val="0074167E"/>
    <w:rsid w:val="00741875"/>
    <w:rsid w:val="007421F4"/>
    <w:rsid w:val="0074226A"/>
    <w:rsid w:val="00742834"/>
    <w:rsid w:val="0074334D"/>
    <w:rsid w:val="00751988"/>
    <w:rsid w:val="0075279D"/>
    <w:rsid w:val="00753056"/>
    <w:rsid w:val="007532FA"/>
    <w:rsid w:val="00753377"/>
    <w:rsid w:val="0075409C"/>
    <w:rsid w:val="0075618F"/>
    <w:rsid w:val="007567A4"/>
    <w:rsid w:val="00756DA2"/>
    <w:rsid w:val="00757616"/>
    <w:rsid w:val="00757E58"/>
    <w:rsid w:val="00757FF6"/>
    <w:rsid w:val="00760436"/>
    <w:rsid w:val="00760C3E"/>
    <w:rsid w:val="00760E07"/>
    <w:rsid w:val="00762746"/>
    <w:rsid w:val="00764644"/>
    <w:rsid w:val="00764667"/>
    <w:rsid w:val="007649C1"/>
    <w:rsid w:val="00764D8E"/>
    <w:rsid w:val="007671EE"/>
    <w:rsid w:val="00771B6F"/>
    <w:rsid w:val="00771F5F"/>
    <w:rsid w:val="00772591"/>
    <w:rsid w:val="0077378C"/>
    <w:rsid w:val="0077420C"/>
    <w:rsid w:val="0077574A"/>
    <w:rsid w:val="00777F75"/>
    <w:rsid w:val="0078079F"/>
    <w:rsid w:val="00780BEC"/>
    <w:rsid w:val="00780C4E"/>
    <w:rsid w:val="007812B5"/>
    <w:rsid w:val="00781924"/>
    <w:rsid w:val="00781FA4"/>
    <w:rsid w:val="0078207E"/>
    <w:rsid w:val="00782FF4"/>
    <w:rsid w:val="00783364"/>
    <w:rsid w:val="00783614"/>
    <w:rsid w:val="00783B9A"/>
    <w:rsid w:val="00783EF6"/>
    <w:rsid w:val="0078440B"/>
    <w:rsid w:val="007847C4"/>
    <w:rsid w:val="007856CD"/>
    <w:rsid w:val="0078748E"/>
    <w:rsid w:val="00790C25"/>
    <w:rsid w:val="00791385"/>
    <w:rsid w:val="00791FB3"/>
    <w:rsid w:val="0079294B"/>
    <w:rsid w:val="007948E0"/>
    <w:rsid w:val="007951B1"/>
    <w:rsid w:val="0079547A"/>
    <w:rsid w:val="007954F1"/>
    <w:rsid w:val="00795740"/>
    <w:rsid w:val="00795C26"/>
    <w:rsid w:val="00796E09"/>
    <w:rsid w:val="007A0886"/>
    <w:rsid w:val="007A09A4"/>
    <w:rsid w:val="007A1371"/>
    <w:rsid w:val="007A252C"/>
    <w:rsid w:val="007A2D31"/>
    <w:rsid w:val="007A4D31"/>
    <w:rsid w:val="007A4E3C"/>
    <w:rsid w:val="007A66D3"/>
    <w:rsid w:val="007A7D3A"/>
    <w:rsid w:val="007B04D6"/>
    <w:rsid w:val="007B0690"/>
    <w:rsid w:val="007B0868"/>
    <w:rsid w:val="007B278F"/>
    <w:rsid w:val="007B2A91"/>
    <w:rsid w:val="007B55DF"/>
    <w:rsid w:val="007B5A6D"/>
    <w:rsid w:val="007B6BA3"/>
    <w:rsid w:val="007B7039"/>
    <w:rsid w:val="007B7836"/>
    <w:rsid w:val="007C06E7"/>
    <w:rsid w:val="007C389D"/>
    <w:rsid w:val="007C4CF6"/>
    <w:rsid w:val="007D0AA3"/>
    <w:rsid w:val="007D0BF7"/>
    <w:rsid w:val="007D1070"/>
    <w:rsid w:val="007D1B9E"/>
    <w:rsid w:val="007D2C58"/>
    <w:rsid w:val="007D5438"/>
    <w:rsid w:val="007D6BA7"/>
    <w:rsid w:val="007D7119"/>
    <w:rsid w:val="007E0AC3"/>
    <w:rsid w:val="007E1061"/>
    <w:rsid w:val="007E11A5"/>
    <w:rsid w:val="007E13DA"/>
    <w:rsid w:val="007E1A24"/>
    <w:rsid w:val="007E45E4"/>
    <w:rsid w:val="007E4837"/>
    <w:rsid w:val="007E52D9"/>
    <w:rsid w:val="007E7118"/>
    <w:rsid w:val="007F0FB0"/>
    <w:rsid w:val="007F1C77"/>
    <w:rsid w:val="007F21DE"/>
    <w:rsid w:val="007F3559"/>
    <w:rsid w:val="007F3B0C"/>
    <w:rsid w:val="007F501E"/>
    <w:rsid w:val="007F5922"/>
    <w:rsid w:val="007F5C97"/>
    <w:rsid w:val="007F7AAF"/>
    <w:rsid w:val="007F7D0E"/>
    <w:rsid w:val="00803BD4"/>
    <w:rsid w:val="00805E20"/>
    <w:rsid w:val="008063F2"/>
    <w:rsid w:val="008065CF"/>
    <w:rsid w:val="00806988"/>
    <w:rsid w:val="00807063"/>
    <w:rsid w:val="00807605"/>
    <w:rsid w:val="00810AF7"/>
    <w:rsid w:val="008115C7"/>
    <w:rsid w:val="0081326C"/>
    <w:rsid w:val="00813504"/>
    <w:rsid w:val="00815AE5"/>
    <w:rsid w:val="00815DD0"/>
    <w:rsid w:val="008161C3"/>
    <w:rsid w:val="008175A1"/>
    <w:rsid w:val="008176C5"/>
    <w:rsid w:val="0082037D"/>
    <w:rsid w:val="008207A5"/>
    <w:rsid w:val="008208A3"/>
    <w:rsid w:val="00821511"/>
    <w:rsid w:val="00821A67"/>
    <w:rsid w:val="00821D30"/>
    <w:rsid w:val="00822308"/>
    <w:rsid w:val="00824806"/>
    <w:rsid w:val="00824C90"/>
    <w:rsid w:val="00825401"/>
    <w:rsid w:val="008256E3"/>
    <w:rsid w:val="00825900"/>
    <w:rsid w:val="00830FBD"/>
    <w:rsid w:val="008311CD"/>
    <w:rsid w:val="008327EE"/>
    <w:rsid w:val="008330C6"/>
    <w:rsid w:val="00835933"/>
    <w:rsid w:val="00835D87"/>
    <w:rsid w:val="008362EF"/>
    <w:rsid w:val="0083686D"/>
    <w:rsid w:val="00836903"/>
    <w:rsid w:val="0083725C"/>
    <w:rsid w:val="0083781D"/>
    <w:rsid w:val="008406C2"/>
    <w:rsid w:val="008414DD"/>
    <w:rsid w:val="0084184D"/>
    <w:rsid w:val="00841DB8"/>
    <w:rsid w:val="0084219C"/>
    <w:rsid w:val="00842462"/>
    <w:rsid w:val="00842AC7"/>
    <w:rsid w:val="00842DC4"/>
    <w:rsid w:val="00843CEF"/>
    <w:rsid w:val="00843E78"/>
    <w:rsid w:val="008451AB"/>
    <w:rsid w:val="0084530C"/>
    <w:rsid w:val="008469D5"/>
    <w:rsid w:val="00846C2D"/>
    <w:rsid w:val="0084704C"/>
    <w:rsid w:val="008519D7"/>
    <w:rsid w:val="00852038"/>
    <w:rsid w:val="008520EF"/>
    <w:rsid w:val="0085289C"/>
    <w:rsid w:val="00852905"/>
    <w:rsid w:val="0085335C"/>
    <w:rsid w:val="00854B3D"/>
    <w:rsid w:val="008559E9"/>
    <w:rsid w:val="00855E48"/>
    <w:rsid w:val="00857200"/>
    <w:rsid w:val="00857E8A"/>
    <w:rsid w:val="008600E1"/>
    <w:rsid w:val="008611FB"/>
    <w:rsid w:val="008613B6"/>
    <w:rsid w:val="00862324"/>
    <w:rsid w:val="00863E45"/>
    <w:rsid w:val="00864C03"/>
    <w:rsid w:val="00864F8E"/>
    <w:rsid w:val="00866FAD"/>
    <w:rsid w:val="008719A4"/>
    <w:rsid w:val="00872ECE"/>
    <w:rsid w:val="008733DF"/>
    <w:rsid w:val="008737D4"/>
    <w:rsid w:val="00874538"/>
    <w:rsid w:val="008748A1"/>
    <w:rsid w:val="00874AF7"/>
    <w:rsid w:val="00874EB5"/>
    <w:rsid w:val="00875D4E"/>
    <w:rsid w:val="00875EBB"/>
    <w:rsid w:val="00882230"/>
    <w:rsid w:val="00882A68"/>
    <w:rsid w:val="0088367F"/>
    <w:rsid w:val="00884827"/>
    <w:rsid w:val="00884F01"/>
    <w:rsid w:val="008860E1"/>
    <w:rsid w:val="00886166"/>
    <w:rsid w:val="00886233"/>
    <w:rsid w:val="00887B04"/>
    <w:rsid w:val="00887E72"/>
    <w:rsid w:val="00892418"/>
    <w:rsid w:val="008941D2"/>
    <w:rsid w:val="008947DF"/>
    <w:rsid w:val="00894C63"/>
    <w:rsid w:val="00895EAE"/>
    <w:rsid w:val="00896DFD"/>
    <w:rsid w:val="00897003"/>
    <w:rsid w:val="008A1085"/>
    <w:rsid w:val="008A3370"/>
    <w:rsid w:val="008A3A2A"/>
    <w:rsid w:val="008A3C5E"/>
    <w:rsid w:val="008A49F4"/>
    <w:rsid w:val="008A5157"/>
    <w:rsid w:val="008B0E8C"/>
    <w:rsid w:val="008B184C"/>
    <w:rsid w:val="008B19B9"/>
    <w:rsid w:val="008B29E4"/>
    <w:rsid w:val="008B3894"/>
    <w:rsid w:val="008B4EA1"/>
    <w:rsid w:val="008B5620"/>
    <w:rsid w:val="008B5957"/>
    <w:rsid w:val="008B6AFD"/>
    <w:rsid w:val="008B76E1"/>
    <w:rsid w:val="008C0DA1"/>
    <w:rsid w:val="008C1255"/>
    <w:rsid w:val="008C2808"/>
    <w:rsid w:val="008C29AC"/>
    <w:rsid w:val="008C35D6"/>
    <w:rsid w:val="008C4800"/>
    <w:rsid w:val="008C588B"/>
    <w:rsid w:val="008C5D5C"/>
    <w:rsid w:val="008C64BF"/>
    <w:rsid w:val="008D0252"/>
    <w:rsid w:val="008D0F58"/>
    <w:rsid w:val="008D361C"/>
    <w:rsid w:val="008D3710"/>
    <w:rsid w:val="008D469E"/>
    <w:rsid w:val="008D4B29"/>
    <w:rsid w:val="008D7BDC"/>
    <w:rsid w:val="008D7C6F"/>
    <w:rsid w:val="008D7EA9"/>
    <w:rsid w:val="008E01B8"/>
    <w:rsid w:val="008E0794"/>
    <w:rsid w:val="008E09AE"/>
    <w:rsid w:val="008E0E8D"/>
    <w:rsid w:val="008E1146"/>
    <w:rsid w:val="008E169A"/>
    <w:rsid w:val="008E28C5"/>
    <w:rsid w:val="008E3765"/>
    <w:rsid w:val="008E3CD8"/>
    <w:rsid w:val="008E4E2F"/>
    <w:rsid w:val="008E6056"/>
    <w:rsid w:val="008E69A6"/>
    <w:rsid w:val="008F1280"/>
    <w:rsid w:val="008F5A87"/>
    <w:rsid w:val="008F5BF8"/>
    <w:rsid w:val="008F66B4"/>
    <w:rsid w:val="008F6961"/>
    <w:rsid w:val="009000FA"/>
    <w:rsid w:val="00900760"/>
    <w:rsid w:val="0090204A"/>
    <w:rsid w:val="00902083"/>
    <w:rsid w:val="00902D11"/>
    <w:rsid w:val="00903018"/>
    <w:rsid w:val="0090304E"/>
    <w:rsid w:val="00903A18"/>
    <w:rsid w:val="00905430"/>
    <w:rsid w:val="00905A2F"/>
    <w:rsid w:val="00905E9F"/>
    <w:rsid w:val="00906E25"/>
    <w:rsid w:val="00910419"/>
    <w:rsid w:val="00910881"/>
    <w:rsid w:val="009115FA"/>
    <w:rsid w:val="00911A4C"/>
    <w:rsid w:val="009125D5"/>
    <w:rsid w:val="0091323C"/>
    <w:rsid w:val="00916BE4"/>
    <w:rsid w:val="00916DD3"/>
    <w:rsid w:val="00920405"/>
    <w:rsid w:val="00921110"/>
    <w:rsid w:val="0092241E"/>
    <w:rsid w:val="00922B68"/>
    <w:rsid w:val="00923271"/>
    <w:rsid w:val="00924900"/>
    <w:rsid w:val="00924D5D"/>
    <w:rsid w:val="00927330"/>
    <w:rsid w:val="0092781A"/>
    <w:rsid w:val="00927AD4"/>
    <w:rsid w:val="00930A2E"/>
    <w:rsid w:val="009329EA"/>
    <w:rsid w:val="00932A7C"/>
    <w:rsid w:val="00932C99"/>
    <w:rsid w:val="0093366C"/>
    <w:rsid w:val="00933846"/>
    <w:rsid w:val="00933BBD"/>
    <w:rsid w:val="00934B6D"/>
    <w:rsid w:val="00934C56"/>
    <w:rsid w:val="00934EB4"/>
    <w:rsid w:val="009368C7"/>
    <w:rsid w:val="00936DBA"/>
    <w:rsid w:val="009372D6"/>
    <w:rsid w:val="009375F8"/>
    <w:rsid w:val="009417F3"/>
    <w:rsid w:val="0094261B"/>
    <w:rsid w:val="00942EB0"/>
    <w:rsid w:val="0094528A"/>
    <w:rsid w:val="0094679E"/>
    <w:rsid w:val="00947F8D"/>
    <w:rsid w:val="00950E93"/>
    <w:rsid w:val="00951E85"/>
    <w:rsid w:val="009533B4"/>
    <w:rsid w:val="00953534"/>
    <w:rsid w:val="0095388D"/>
    <w:rsid w:val="0095396C"/>
    <w:rsid w:val="00953CAA"/>
    <w:rsid w:val="009569A2"/>
    <w:rsid w:val="0095726B"/>
    <w:rsid w:val="00957A4C"/>
    <w:rsid w:val="00962584"/>
    <w:rsid w:val="00962664"/>
    <w:rsid w:val="009630A1"/>
    <w:rsid w:val="00964714"/>
    <w:rsid w:val="00966F1B"/>
    <w:rsid w:val="00972D0D"/>
    <w:rsid w:val="00974749"/>
    <w:rsid w:val="00977A05"/>
    <w:rsid w:val="00977A8D"/>
    <w:rsid w:val="00980506"/>
    <w:rsid w:val="009811CE"/>
    <w:rsid w:val="00983403"/>
    <w:rsid w:val="00983569"/>
    <w:rsid w:val="009838B2"/>
    <w:rsid w:val="0098668F"/>
    <w:rsid w:val="009871FE"/>
    <w:rsid w:val="00987BD9"/>
    <w:rsid w:val="009900C9"/>
    <w:rsid w:val="00991423"/>
    <w:rsid w:val="00991B5D"/>
    <w:rsid w:val="00993910"/>
    <w:rsid w:val="0099466B"/>
    <w:rsid w:val="0099495F"/>
    <w:rsid w:val="00996878"/>
    <w:rsid w:val="00997FF9"/>
    <w:rsid w:val="009A0269"/>
    <w:rsid w:val="009A1FCD"/>
    <w:rsid w:val="009A295B"/>
    <w:rsid w:val="009A409B"/>
    <w:rsid w:val="009A4231"/>
    <w:rsid w:val="009A5480"/>
    <w:rsid w:val="009A7C18"/>
    <w:rsid w:val="009A7CA9"/>
    <w:rsid w:val="009B257F"/>
    <w:rsid w:val="009B39BC"/>
    <w:rsid w:val="009B4E45"/>
    <w:rsid w:val="009B624C"/>
    <w:rsid w:val="009C0621"/>
    <w:rsid w:val="009C201D"/>
    <w:rsid w:val="009C3CFD"/>
    <w:rsid w:val="009C6667"/>
    <w:rsid w:val="009C7BFE"/>
    <w:rsid w:val="009D09EF"/>
    <w:rsid w:val="009D27BD"/>
    <w:rsid w:val="009D3799"/>
    <w:rsid w:val="009D400F"/>
    <w:rsid w:val="009D4A4F"/>
    <w:rsid w:val="009D4A9C"/>
    <w:rsid w:val="009D4C1C"/>
    <w:rsid w:val="009D5246"/>
    <w:rsid w:val="009D6E22"/>
    <w:rsid w:val="009D744E"/>
    <w:rsid w:val="009E1112"/>
    <w:rsid w:val="009E37B6"/>
    <w:rsid w:val="009E4A5B"/>
    <w:rsid w:val="009E540C"/>
    <w:rsid w:val="009E5905"/>
    <w:rsid w:val="009E626B"/>
    <w:rsid w:val="009E7699"/>
    <w:rsid w:val="009E7AFA"/>
    <w:rsid w:val="009F1BA4"/>
    <w:rsid w:val="009F1ECF"/>
    <w:rsid w:val="009F2914"/>
    <w:rsid w:val="009F30FF"/>
    <w:rsid w:val="009F343D"/>
    <w:rsid w:val="009F3F41"/>
    <w:rsid w:val="009F48F5"/>
    <w:rsid w:val="009F5F46"/>
    <w:rsid w:val="009F6A3A"/>
    <w:rsid w:val="009F6F9A"/>
    <w:rsid w:val="00A002FE"/>
    <w:rsid w:val="00A00C7B"/>
    <w:rsid w:val="00A00E56"/>
    <w:rsid w:val="00A01E71"/>
    <w:rsid w:val="00A0251F"/>
    <w:rsid w:val="00A02B51"/>
    <w:rsid w:val="00A03809"/>
    <w:rsid w:val="00A062E6"/>
    <w:rsid w:val="00A06385"/>
    <w:rsid w:val="00A07A52"/>
    <w:rsid w:val="00A1010F"/>
    <w:rsid w:val="00A103B4"/>
    <w:rsid w:val="00A1060A"/>
    <w:rsid w:val="00A1168F"/>
    <w:rsid w:val="00A12219"/>
    <w:rsid w:val="00A12E07"/>
    <w:rsid w:val="00A138E3"/>
    <w:rsid w:val="00A13C11"/>
    <w:rsid w:val="00A144C1"/>
    <w:rsid w:val="00A14FA9"/>
    <w:rsid w:val="00A15C2A"/>
    <w:rsid w:val="00A168EE"/>
    <w:rsid w:val="00A17B9F"/>
    <w:rsid w:val="00A20212"/>
    <w:rsid w:val="00A20269"/>
    <w:rsid w:val="00A221A5"/>
    <w:rsid w:val="00A223E7"/>
    <w:rsid w:val="00A22C80"/>
    <w:rsid w:val="00A2426E"/>
    <w:rsid w:val="00A244BC"/>
    <w:rsid w:val="00A2484F"/>
    <w:rsid w:val="00A25F68"/>
    <w:rsid w:val="00A25FF7"/>
    <w:rsid w:val="00A2679B"/>
    <w:rsid w:val="00A310E5"/>
    <w:rsid w:val="00A32244"/>
    <w:rsid w:val="00A32F30"/>
    <w:rsid w:val="00A33480"/>
    <w:rsid w:val="00A335F7"/>
    <w:rsid w:val="00A33DA3"/>
    <w:rsid w:val="00A343A0"/>
    <w:rsid w:val="00A35BE2"/>
    <w:rsid w:val="00A36AF0"/>
    <w:rsid w:val="00A378C9"/>
    <w:rsid w:val="00A37A35"/>
    <w:rsid w:val="00A406A4"/>
    <w:rsid w:val="00A44092"/>
    <w:rsid w:val="00A444F0"/>
    <w:rsid w:val="00A4666A"/>
    <w:rsid w:val="00A471B1"/>
    <w:rsid w:val="00A47675"/>
    <w:rsid w:val="00A5257C"/>
    <w:rsid w:val="00A534AF"/>
    <w:rsid w:val="00A54D51"/>
    <w:rsid w:val="00A55657"/>
    <w:rsid w:val="00A557D5"/>
    <w:rsid w:val="00A5598C"/>
    <w:rsid w:val="00A569CF"/>
    <w:rsid w:val="00A60AE7"/>
    <w:rsid w:val="00A60BCE"/>
    <w:rsid w:val="00A60C2D"/>
    <w:rsid w:val="00A615A4"/>
    <w:rsid w:val="00A61DD5"/>
    <w:rsid w:val="00A626FC"/>
    <w:rsid w:val="00A632E0"/>
    <w:rsid w:val="00A63935"/>
    <w:rsid w:val="00A646C7"/>
    <w:rsid w:val="00A648F3"/>
    <w:rsid w:val="00A655D6"/>
    <w:rsid w:val="00A662A6"/>
    <w:rsid w:val="00A66E28"/>
    <w:rsid w:val="00A67928"/>
    <w:rsid w:val="00A67F51"/>
    <w:rsid w:val="00A704D6"/>
    <w:rsid w:val="00A709DF"/>
    <w:rsid w:val="00A71AAE"/>
    <w:rsid w:val="00A71EC3"/>
    <w:rsid w:val="00A722AE"/>
    <w:rsid w:val="00A72495"/>
    <w:rsid w:val="00A76077"/>
    <w:rsid w:val="00A768AE"/>
    <w:rsid w:val="00A77F2C"/>
    <w:rsid w:val="00A8081B"/>
    <w:rsid w:val="00A8239C"/>
    <w:rsid w:val="00A83157"/>
    <w:rsid w:val="00A842D5"/>
    <w:rsid w:val="00A850C9"/>
    <w:rsid w:val="00A85102"/>
    <w:rsid w:val="00A863F9"/>
    <w:rsid w:val="00A90D7F"/>
    <w:rsid w:val="00A91663"/>
    <w:rsid w:val="00A9271A"/>
    <w:rsid w:val="00A92CBA"/>
    <w:rsid w:val="00A93680"/>
    <w:rsid w:val="00A95B5A"/>
    <w:rsid w:val="00A9635B"/>
    <w:rsid w:val="00A96A6E"/>
    <w:rsid w:val="00A97242"/>
    <w:rsid w:val="00A97646"/>
    <w:rsid w:val="00A979F6"/>
    <w:rsid w:val="00A97C4C"/>
    <w:rsid w:val="00AA01E4"/>
    <w:rsid w:val="00AA0CED"/>
    <w:rsid w:val="00AA1C7E"/>
    <w:rsid w:val="00AA2005"/>
    <w:rsid w:val="00AA2170"/>
    <w:rsid w:val="00AA3B1B"/>
    <w:rsid w:val="00AA5750"/>
    <w:rsid w:val="00AA5A79"/>
    <w:rsid w:val="00AA5AA3"/>
    <w:rsid w:val="00AA6B0C"/>
    <w:rsid w:val="00AB0101"/>
    <w:rsid w:val="00AB014B"/>
    <w:rsid w:val="00AB0199"/>
    <w:rsid w:val="00AB0FFA"/>
    <w:rsid w:val="00AB1405"/>
    <w:rsid w:val="00AB16D7"/>
    <w:rsid w:val="00AB1C7C"/>
    <w:rsid w:val="00AB26CF"/>
    <w:rsid w:val="00AB2711"/>
    <w:rsid w:val="00AB312D"/>
    <w:rsid w:val="00AB3F32"/>
    <w:rsid w:val="00AB4AA4"/>
    <w:rsid w:val="00AB7641"/>
    <w:rsid w:val="00AB7F73"/>
    <w:rsid w:val="00AC0ADC"/>
    <w:rsid w:val="00AC1241"/>
    <w:rsid w:val="00AC131A"/>
    <w:rsid w:val="00AC1841"/>
    <w:rsid w:val="00AC25D1"/>
    <w:rsid w:val="00AC2831"/>
    <w:rsid w:val="00AC2A07"/>
    <w:rsid w:val="00AC2B62"/>
    <w:rsid w:val="00AC3485"/>
    <w:rsid w:val="00AC35B7"/>
    <w:rsid w:val="00AC3E8D"/>
    <w:rsid w:val="00AC4292"/>
    <w:rsid w:val="00AC585C"/>
    <w:rsid w:val="00AD0233"/>
    <w:rsid w:val="00AD4517"/>
    <w:rsid w:val="00AD50C8"/>
    <w:rsid w:val="00AD6470"/>
    <w:rsid w:val="00AD67E4"/>
    <w:rsid w:val="00AE0055"/>
    <w:rsid w:val="00AE0560"/>
    <w:rsid w:val="00AE19EB"/>
    <w:rsid w:val="00AE2568"/>
    <w:rsid w:val="00AE322B"/>
    <w:rsid w:val="00AE373A"/>
    <w:rsid w:val="00AE4439"/>
    <w:rsid w:val="00AE4898"/>
    <w:rsid w:val="00AE4C12"/>
    <w:rsid w:val="00AE5B07"/>
    <w:rsid w:val="00AE68CE"/>
    <w:rsid w:val="00AE6E3B"/>
    <w:rsid w:val="00AE6F33"/>
    <w:rsid w:val="00AE733F"/>
    <w:rsid w:val="00AE771E"/>
    <w:rsid w:val="00AF1A8D"/>
    <w:rsid w:val="00AF1D20"/>
    <w:rsid w:val="00AF1F43"/>
    <w:rsid w:val="00AF2526"/>
    <w:rsid w:val="00AF4F90"/>
    <w:rsid w:val="00AF5A73"/>
    <w:rsid w:val="00AF5DD1"/>
    <w:rsid w:val="00AF6596"/>
    <w:rsid w:val="00B0040C"/>
    <w:rsid w:val="00B00CA4"/>
    <w:rsid w:val="00B02170"/>
    <w:rsid w:val="00B028A8"/>
    <w:rsid w:val="00B03765"/>
    <w:rsid w:val="00B054AC"/>
    <w:rsid w:val="00B062FB"/>
    <w:rsid w:val="00B06CB5"/>
    <w:rsid w:val="00B104AC"/>
    <w:rsid w:val="00B1090A"/>
    <w:rsid w:val="00B110A5"/>
    <w:rsid w:val="00B12270"/>
    <w:rsid w:val="00B140FC"/>
    <w:rsid w:val="00B141C3"/>
    <w:rsid w:val="00B14536"/>
    <w:rsid w:val="00B15140"/>
    <w:rsid w:val="00B15193"/>
    <w:rsid w:val="00B15235"/>
    <w:rsid w:val="00B15387"/>
    <w:rsid w:val="00B1540C"/>
    <w:rsid w:val="00B16195"/>
    <w:rsid w:val="00B17EBC"/>
    <w:rsid w:val="00B17EFC"/>
    <w:rsid w:val="00B20A82"/>
    <w:rsid w:val="00B213E5"/>
    <w:rsid w:val="00B22152"/>
    <w:rsid w:val="00B22675"/>
    <w:rsid w:val="00B23604"/>
    <w:rsid w:val="00B24CA3"/>
    <w:rsid w:val="00B2535D"/>
    <w:rsid w:val="00B25690"/>
    <w:rsid w:val="00B2582F"/>
    <w:rsid w:val="00B263EB"/>
    <w:rsid w:val="00B265C2"/>
    <w:rsid w:val="00B27890"/>
    <w:rsid w:val="00B302FD"/>
    <w:rsid w:val="00B323E1"/>
    <w:rsid w:val="00B34886"/>
    <w:rsid w:val="00B34ABF"/>
    <w:rsid w:val="00B372D5"/>
    <w:rsid w:val="00B374B9"/>
    <w:rsid w:val="00B412C2"/>
    <w:rsid w:val="00B421D0"/>
    <w:rsid w:val="00B4291D"/>
    <w:rsid w:val="00B436F1"/>
    <w:rsid w:val="00B44405"/>
    <w:rsid w:val="00B44EA9"/>
    <w:rsid w:val="00B4563D"/>
    <w:rsid w:val="00B5014E"/>
    <w:rsid w:val="00B50435"/>
    <w:rsid w:val="00B51A68"/>
    <w:rsid w:val="00B5303F"/>
    <w:rsid w:val="00B53F1C"/>
    <w:rsid w:val="00B55351"/>
    <w:rsid w:val="00B55429"/>
    <w:rsid w:val="00B55A29"/>
    <w:rsid w:val="00B568A8"/>
    <w:rsid w:val="00B60623"/>
    <w:rsid w:val="00B61090"/>
    <w:rsid w:val="00B62103"/>
    <w:rsid w:val="00B6253E"/>
    <w:rsid w:val="00B6290E"/>
    <w:rsid w:val="00B642FC"/>
    <w:rsid w:val="00B64698"/>
    <w:rsid w:val="00B65BA2"/>
    <w:rsid w:val="00B6694A"/>
    <w:rsid w:val="00B67B5A"/>
    <w:rsid w:val="00B70930"/>
    <w:rsid w:val="00B70FF5"/>
    <w:rsid w:val="00B715C5"/>
    <w:rsid w:val="00B7260A"/>
    <w:rsid w:val="00B72DF8"/>
    <w:rsid w:val="00B7321A"/>
    <w:rsid w:val="00B739F9"/>
    <w:rsid w:val="00B74D9C"/>
    <w:rsid w:val="00B76985"/>
    <w:rsid w:val="00B76C18"/>
    <w:rsid w:val="00B76C33"/>
    <w:rsid w:val="00B77671"/>
    <w:rsid w:val="00B77CFC"/>
    <w:rsid w:val="00B808C9"/>
    <w:rsid w:val="00B81728"/>
    <w:rsid w:val="00B81823"/>
    <w:rsid w:val="00B827A4"/>
    <w:rsid w:val="00B84348"/>
    <w:rsid w:val="00B84834"/>
    <w:rsid w:val="00B851BC"/>
    <w:rsid w:val="00B85F5F"/>
    <w:rsid w:val="00B86517"/>
    <w:rsid w:val="00B866CB"/>
    <w:rsid w:val="00B868BF"/>
    <w:rsid w:val="00B876E6"/>
    <w:rsid w:val="00B91748"/>
    <w:rsid w:val="00B92A1D"/>
    <w:rsid w:val="00B93C0E"/>
    <w:rsid w:val="00B93FFF"/>
    <w:rsid w:val="00B9434A"/>
    <w:rsid w:val="00B94D52"/>
    <w:rsid w:val="00B954AE"/>
    <w:rsid w:val="00B9568A"/>
    <w:rsid w:val="00B97D3A"/>
    <w:rsid w:val="00BA02AD"/>
    <w:rsid w:val="00BA0FE9"/>
    <w:rsid w:val="00BA2236"/>
    <w:rsid w:val="00BA260D"/>
    <w:rsid w:val="00BA3425"/>
    <w:rsid w:val="00BA431D"/>
    <w:rsid w:val="00BA4CB3"/>
    <w:rsid w:val="00BA4CED"/>
    <w:rsid w:val="00BA5686"/>
    <w:rsid w:val="00BA6373"/>
    <w:rsid w:val="00BA6966"/>
    <w:rsid w:val="00BA78F0"/>
    <w:rsid w:val="00BB0530"/>
    <w:rsid w:val="00BB1099"/>
    <w:rsid w:val="00BB3124"/>
    <w:rsid w:val="00BB3C1D"/>
    <w:rsid w:val="00BB4490"/>
    <w:rsid w:val="00BB4616"/>
    <w:rsid w:val="00BB53B4"/>
    <w:rsid w:val="00BB5D76"/>
    <w:rsid w:val="00BC001B"/>
    <w:rsid w:val="00BC0ED9"/>
    <w:rsid w:val="00BC55CD"/>
    <w:rsid w:val="00BC5D87"/>
    <w:rsid w:val="00BC61A0"/>
    <w:rsid w:val="00BC756F"/>
    <w:rsid w:val="00BD04F6"/>
    <w:rsid w:val="00BD0A02"/>
    <w:rsid w:val="00BD12B8"/>
    <w:rsid w:val="00BD19E0"/>
    <w:rsid w:val="00BD3E42"/>
    <w:rsid w:val="00BD472C"/>
    <w:rsid w:val="00BD480E"/>
    <w:rsid w:val="00BD4ECD"/>
    <w:rsid w:val="00BD4F5F"/>
    <w:rsid w:val="00BD6A0F"/>
    <w:rsid w:val="00BD720C"/>
    <w:rsid w:val="00BD7531"/>
    <w:rsid w:val="00BD79B2"/>
    <w:rsid w:val="00BD7E52"/>
    <w:rsid w:val="00BE0F37"/>
    <w:rsid w:val="00BE1AE3"/>
    <w:rsid w:val="00BE1C75"/>
    <w:rsid w:val="00BE2F55"/>
    <w:rsid w:val="00BE4857"/>
    <w:rsid w:val="00BE60FA"/>
    <w:rsid w:val="00BE7942"/>
    <w:rsid w:val="00BF3344"/>
    <w:rsid w:val="00BF4383"/>
    <w:rsid w:val="00BF61CB"/>
    <w:rsid w:val="00BF6D34"/>
    <w:rsid w:val="00BF73E6"/>
    <w:rsid w:val="00C021E7"/>
    <w:rsid w:val="00C02A58"/>
    <w:rsid w:val="00C0305E"/>
    <w:rsid w:val="00C035DA"/>
    <w:rsid w:val="00C041A3"/>
    <w:rsid w:val="00C047A0"/>
    <w:rsid w:val="00C052A1"/>
    <w:rsid w:val="00C0729B"/>
    <w:rsid w:val="00C0787A"/>
    <w:rsid w:val="00C10680"/>
    <w:rsid w:val="00C108FB"/>
    <w:rsid w:val="00C120B7"/>
    <w:rsid w:val="00C12149"/>
    <w:rsid w:val="00C12760"/>
    <w:rsid w:val="00C135C8"/>
    <w:rsid w:val="00C13735"/>
    <w:rsid w:val="00C14092"/>
    <w:rsid w:val="00C1501C"/>
    <w:rsid w:val="00C157C6"/>
    <w:rsid w:val="00C1753A"/>
    <w:rsid w:val="00C177ED"/>
    <w:rsid w:val="00C2003D"/>
    <w:rsid w:val="00C20349"/>
    <w:rsid w:val="00C21A0F"/>
    <w:rsid w:val="00C249A9"/>
    <w:rsid w:val="00C27C6E"/>
    <w:rsid w:val="00C32D27"/>
    <w:rsid w:val="00C33216"/>
    <w:rsid w:val="00C35105"/>
    <w:rsid w:val="00C368B5"/>
    <w:rsid w:val="00C36D95"/>
    <w:rsid w:val="00C4049A"/>
    <w:rsid w:val="00C4104C"/>
    <w:rsid w:val="00C41EA8"/>
    <w:rsid w:val="00C4396F"/>
    <w:rsid w:val="00C441FB"/>
    <w:rsid w:val="00C44CF7"/>
    <w:rsid w:val="00C45494"/>
    <w:rsid w:val="00C45BA5"/>
    <w:rsid w:val="00C4667C"/>
    <w:rsid w:val="00C511B0"/>
    <w:rsid w:val="00C51F3D"/>
    <w:rsid w:val="00C52A39"/>
    <w:rsid w:val="00C53396"/>
    <w:rsid w:val="00C533C8"/>
    <w:rsid w:val="00C54391"/>
    <w:rsid w:val="00C550BD"/>
    <w:rsid w:val="00C557E4"/>
    <w:rsid w:val="00C55B71"/>
    <w:rsid w:val="00C57253"/>
    <w:rsid w:val="00C57494"/>
    <w:rsid w:val="00C611EA"/>
    <w:rsid w:val="00C61298"/>
    <w:rsid w:val="00C614C0"/>
    <w:rsid w:val="00C61752"/>
    <w:rsid w:val="00C617DF"/>
    <w:rsid w:val="00C61CE9"/>
    <w:rsid w:val="00C61DC1"/>
    <w:rsid w:val="00C61F15"/>
    <w:rsid w:val="00C621A4"/>
    <w:rsid w:val="00C625B5"/>
    <w:rsid w:val="00C62F4F"/>
    <w:rsid w:val="00C66248"/>
    <w:rsid w:val="00C66B06"/>
    <w:rsid w:val="00C66DBC"/>
    <w:rsid w:val="00C702C5"/>
    <w:rsid w:val="00C70BCE"/>
    <w:rsid w:val="00C71E6E"/>
    <w:rsid w:val="00C745BE"/>
    <w:rsid w:val="00C75A15"/>
    <w:rsid w:val="00C77394"/>
    <w:rsid w:val="00C7750C"/>
    <w:rsid w:val="00C77C84"/>
    <w:rsid w:val="00C80788"/>
    <w:rsid w:val="00C80C0E"/>
    <w:rsid w:val="00C812DE"/>
    <w:rsid w:val="00C81D05"/>
    <w:rsid w:val="00C8408A"/>
    <w:rsid w:val="00C8450A"/>
    <w:rsid w:val="00C855C5"/>
    <w:rsid w:val="00C85D99"/>
    <w:rsid w:val="00C85FBD"/>
    <w:rsid w:val="00C8619B"/>
    <w:rsid w:val="00C87E03"/>
    <w:rsid w:val="00C90771"/>
    <w:rsid w:val="00C90B5B"/>
    <w:rsid w:val="00C90DED"/>
    <w:rsid w:val="00C929B1"/>
    <w:rsid w:val="00C93170"/>
    <w:rsid w:val="00C9382B"/>
    <w:rsid w:val="00C9391F"/>
    <w:rsid w:val="00C94CAE"/>
    <w:rsid w:val="00C95613"/>
    <w:rsid w:val="00C9565E"/>
    <w:rsid w:val="00C95E82"/>
    <w:rsid w:val="00C9612D"/>
    <w:rsid w:val="00C96263"/>
    <w:rsid w:val="00C96EED"/>
    <w:rsid w:val="00C970F0"/>
    <w:rsid w:val="00C97512"/>
    <w:rsid w:val="00C97AAA"/>
    <w:rsid w:val="00C97BA6"/>
    <w:rsid w:val="00CA0224"/>
    <w:rsid w:val="00CA0882"/>
    <w:rsid w:val="00CA1707"/>
    <w:rsid w:val="00CA29E2"/>
    <w:rsid w:val="00CA34E8"/>
    <w:rsid w:val="00CA3951"/>
    <w:rsid w:val="00CA4B6A"/>
    <w:rsid w:val="00CA7A33"/>
    <w:rsid w:val="00CB1980"/>
    <w:rsid w:val="00CB4025"/>
    <w:rsid w:val="00CB43A2"/>
    <w:rsid w:val="00CB5098"/>
    <w:rsid w:val="00CB6831"/>
    <w:rsid w:val="00CB6E60"/>
    <w:rsid w:val="00CB6F1E"/>
    <w:rsid w:val="00CB7C3B"/>
    <w:rsid w:val="00CB7D3B"/>
    <w:rsid w:val="00CC15A7"/>
    <w:rsid w:val="00CC18DD"/>
    <w:rsid w:val="00CC3431"/>
    <w:rsid w:val="00CC3768"/>
    <w:rsid w:val="00CC41DE"/>
    <w:rsid w:val="00CC4693"/>
    <w:rsid w:val="00CC6055"/>
    <w:rsid w:val="00CC61C2"/>
    <w:rsid w:val="00CC7440"/>
    <w:rsid w:val="00CC7892"/>
    <w:rsid w:val="00CD1030"/>
    <w:rsid w:val="00CD1A1D"/>
    <w:rsid w:val="00CD2DE5"/>
    <w:rsid w:val="00CD4111"/>
    <w:rsid w:val="00CD4866"/>
    <w:rsid w:val="00CD5F76"/>
    <w:rsid w:val="00CD7AB9"/>
    <w:rsid w:val="00CE0051"/>
    <w:rsid w:val="00CE0747"/>
    <w:rsid w:val="00CE4E3C"/>
    <w:rsid w:val="00CE5439"/>
    <w:rsid w:val="00CE5BCD"/>
    <w:rsid w:val="00CE6E2B"/>
    <w:rsid w:val="00CE778A"/>
    <w:rsid w:val="00CE78C3"/>
    <w:rsid w:val="00CF02A9"/>
    <w:rsid w:val="00CF101D"/>
    <w:rsid w:val="00CF1CF1"/>
    <w:rsid w:val="00CF31E1"/>
    <w:rsid w:val="00CF3487"/>
    <w:rsid w:val="00CF39D3"/>
    <w:rsid w:val="00CF4DC9"/>
    <w:rsid w:val="00CF52CA"/>
    <w:rsid w:val="00CF5444"/>
    <w:rsid w:val="00CF78E8"/>
    <w:rsid w:val="00CF7D9B"/>
    <w:rsid w:val="00CF7EED"/>
    <w:rsid w:val="00D0013E"/>
    <w:rsid w:val="00D00634"/>
    <w:rsid w:val="00D00B2D"/>
    <w:rsid w:val="00D0101D"/>
    <w:rsid w:val="00D01E5B"/>
    <w:rsid w:val="00D03C8A"/>
    <w:rsid w:val="00D03CB4"/>
    <w:rsid w:val="00D049B2"/>
    <w:rsid w:val="00D050FD"/>
    <w:rsid w:val="00D053C7"/>
    <w:rsid w:val="00D05A12"/>
    <w:rsid w:val="00D0611F"/>
    <w:rsid w:val="00D069BA"/>
    <w:rsid w:val="00D072A9"/>
    <w:rsid w:val="00D106A0"/>
    <w:rsid w:val="00D126E3"/>
    <w:rsid w:val="00D1308C"/>
    <w:rsid w:val="00D13783"/>
    <w:rsid w:val="00D155CF"/>
    <w:rsid w:val="00D165DD"/>
    <w:rsid w:val="00D2167E"/>
    <w:rsid w:val="00D22603"/>
    <w:rsid w:val="00D22971"/>
    <w:rsid w:val="00D22F94"/>
    <w:rsid w:val="00D25664"/>
    <w:rsid w:val="00D25D29"/>
    <w:rsid w:val="00D26101"/>
    <w:rsid w:val="00D26A5E"/>
    <w:rsid w:val="00D274E8"/>
    <w:rsid w:val="00D30C59"/>
    <w:rsid w:val="00D30D0C"/>
    <w:rsid w:val="00D31793"/>
    <w:rsid w:val="00D32A0A"/>
    <w:rsid w:val="00D32BCD"/>
    <w:rsid w:val="00D34166"/>
    <w:rsid w:val="00D3597D"/>
    <w:rsid w:val="00D41172"/>
    <w:rsid w:val="00D425D8"/>
    <w:rsid w:val="00D42B5B"/>
    <w:rsid w:val="00D432F3"/>
    <w:rsid w:val="00D454F6"/>
    <w:rsid w:val="00D457A6"/>
    <w:rsid w:val="00D46A42"/>
    <w:rsid w:val="00D46A8D"/>
    <w:rsid w:val="00D46B32"/>
    <w:rsid w:val="00D46DB3"/>
    <w:rsid w:val="00D50620"/>
    <w:rsid w:val="00D508AB"/>
    <w:rsid w:val="00D51098"/>
    <w:rsid w:val="00D5115C"/>
    <w:rsid w:val="00D51814"/>
    <w:rsid w:val="00D51BC0"/>
    <w:rsid w:val="00D54F9A"/>
    <w:rsid w:val="00D55E43"/>
    <w:rsid w:val="00D564AF"/>
    <w:rsid w:val="00D56DC0"/>
    <w:rsid w:val="00D57BC5"/>
    <w:rsid w:val="00D57FDF"/>
    <w:rsid w:val="00D63643"/>
    <w:rsid w:val="00D639D7"/>
    <w:rsid w:val="00D65124"/>
    <w:rsid w:val="00D6583A"/>
    <w:rsid w:val="00D65ED2"/>
    <w:rsid w:val="00D70985"/>
    <w:rsid w:val="00D70A98"/>
    <w:rsid w:val="00D70AB4"/>
    <w:rsid w:val="00D717F8"/>
    <w:rsid w:val="00D71924"/>
    <w:rsid w:val="00D72091"/>
    <w:rsid w:val="00D73EFA"/>
    <w:rsid w:val="00D74608"/>
    <w:rsid w:val="00D747DD"/>
    <w:rsid w:val="00D75675"/>
    <w:rsid w:val="00D7595A"/>
    <w:rsid w:val="00D82C08"/>
    <w:rsid w:val="00D841D8"/>
    <w:rsid w:val="00D85243"/>
    <w:rsid w:val="00D8618A"/>
    <w:rsid w:val="00D86281"/>
    <w:rsid w:val="00D86ED2"/>
    <w:rsid w:val="00D87835"/>
    <w:rsid w:val="00D878D1"/>
    <w:rsid w:val="00D91050"/>
    <w:rsid w:val="00D91C15"/>
    <w:rsid w:val="00D91E67"/>
    <w:rsid w:val="00D92136"/>
    <w:rsid w:val="00D92CAB"/>
    <w:rsid w:val="00D93617"/>
    <w:rsid w:val="00D937B8"/>
    <w:rsid w:val="00D946A7"/>
    <w:rsid w:val="00D94F8E"/>
    <w:rsid w:val="00D961F9"/>
    <w:rsid w:val="00D96419"/>
    <w:rsid w:val="00D96617"/>
    <w:rsid w:val="00D970E9"/>
    <w:rsid w:val="00D9712D"/>
    <w:rsid w:val="00DA0A55"/>
    <w:rsid w:val="00DA186F"/>
    <w:rsid w:val="00DA2CD4"/>
    <w:rsid w:val="00DA37CE"/>
    <w:rsid w:val="00DA4B89"/>
    <w:rsid w:val="00DA5232"/>
    <w:rsid w:val="00DA5EE7"/>
    <w:rsid w:val="00DA638E"/>
    <w:rsid w:val="00DA652B"/>
    <w:rsid w:val="00DA69AA"/>
    <w:rsid w:val="00DA703B"/>
    <w:rsid w:val="00DB06BE"/>
    <w:rsid w:val="00DB1495"/>
    <w:rsid w:val="00DB1E35"/>
    <w:rsid w:val="00DB47F4"/>
    <w:rsid w:val="00DB542E"/>
    <w:rsid w:val="00DB6C49"/>
    <w:rsid w:val="00DB6F8A"/>
    <w:rsid w:val="00DB768B"/>
    <w:rsid w:val="00DC0D1E"/>
    <w:rsid w:val="00DC1B04"/>
    <w:rsid w:val="00DC4455"/>
    <w:rsid w:val="00DC4469"/>
    <w:rsid w:val="00DC61E9"/>
    <w:rsid w:val="00DC63B2"/>
    <w:rsid w:val="00DC682E"/>
    <w:rsid w:val="00DC69E0"/>
    <w:rsid w:val="00DC6AC2"/>
    <w:rsid w:val="00DC76A9"/>
    <w:rsid w:val="00DD160C"/>
    <w:rsid w:val="00DD261D"/>
    <w:rsid w:val="00DD388E"/>
    <w:rsid w:val="00DD4585"/>
    <w:rsid w:val="00DD56FC"/>
    <w:rsid w:val="00DD5AF8"/>
    <w:rsid w:val="00DD6A7E"/>
    <w:rsid w:val="00DE0578"/>
    <w:rsid w:val="00DE0BE8"/>
    <w:rsid w:val="00DE4418"/>
    <w:rsid w:val="00DE7113"/>
    <w:rsid w:val="00DE7DF7"/>
    <w:rsid w:val="00DE7FB7"/>
    <w:rsid w:val="00DF0BE6"/>
    <w:rsid w:val="00DF0DCF"/>
    <w:rsid w:val="00DF2410"/>
    <w:rsid w:val="00DF2DC0"/>
    <w:rsid w:val="00DF395F"/>
    <w:rsid w:val="00DF5008"/>
    <w:rsid w:val="00DF7CF3"/>
    <w:rsid w:val="00E0039D"/>
    <w:rsid w:val="00E00726"/>
    <w:rsid w:val="00E0182E"/>
    <w:rsid w:val="00E0195C"/>
    <w:rsid w:val="00E02538"/>
    <w:rsid w:val="00E03E15"/>
    <w:rsid w:val="00E05B24"/>
    <w:rsid w:val="00E06690"/>
    <w:rsid w:val="00E068DE"/>
    <w:rsid w:val="00E06913"/>
    <w:rsid w:val="00E0697C"/>
    <w:rsid w:val="00E079AC"/>
    <w:rsid w:val="00E100F7"/>
    <w:rsid w:val="00E10582"/>
    <w:rsid w:val="00E106D1"/>
    <w:rsid w:val="00E1129A"/>
    <w:rsid w:val="00E12176"/>
    <w:rsid w:val="00E130D2"/>
    <w:rsid w:val="00E1488A"/>
    <w:rsid w:val="00E159F8"/>
    <w:rsid w:val="00E15F8E"/>
    <w:rsid w:val="00E162B9"/>
    <w:rsid w:val="00E16659"/>
    <w:rsid w:val="00E168A8"/>
    <w:rsid w:val="00E16FF0"/>
    <w:rsid w:val="00E17C3A"/>
    <w:rsid w:val="00E2043E"/>
    <w:rsid w:val="00E21BB6"/>
    <w:rsid w:val="00E21D9E"/>
    <w:rsid w:val="00E21F61"/>
    <w:rsid w:val="00E22A6B"/>
    <w:rsid w:val="00E23D73"/>
    <w:rsid w:val="00E2478F"/>
    <w:rsid w:val="00E2550C"/>
    <w:rsid w:val="00E26292"/>
    <w:rsid w:val="00E264CA"/>
    <w:rsid w:val="00E265BC"/>
    <w:rsid w:val="00E26ECF"/>
    <w:rsid w:val="00E30C67"/>
    <w:rsid w:val="00E3226B"/>
    <w:rsid w:val="00E3291E"/>
    <w:rsid w:val="00E32E9E"/>
    <w:rsid w:val="00E331D1"/>
    <w:rsid w:val="00E3411E"/>
    <w:rsid w:val="00E35A7D"/>
    <w:rsid w:val="00E37690"/>
    <w:rsid w:val="00E401A9"/>
    <w:rsid w:val="00E40A98"/>
    <w:rsid w:val="00E41855"/>
    <w:rsid w:val="00E41BD0"/>
    <w:rsid w:val="00E4242F"/>
    <w:rsid w:val="00E42988"/>
    <w:rsid w:val="00E43AB7"/>
    <w:rsid w:val="00E447C9"/>
    <w:rsid w:val="00E45498"/>
    <w:rsid w:val="00E46989"/>
    <w:rsid w:val="00E50A18"/>
    <w:rsid w:val="00E51606"/>
    <w:rsid w:val="00E51A0C"/>
    <w:rsid w:val="00E5244A"/>
    <w:rsid w:val="00E52F22"/>
    <w:rsid w:val="00E537B9"/>
    <w:rsid w:val="00E53E33"/>
    <w:rsid w:val="00E54339"/>
    <w:rsid w:val="00E56979"/>
    <w:rsid w:val="00E57995"/>
    <w:rsid w:val="00E60C7D"/>
    <w:rsid w:val="00E61304"/>
    <w:rsid w:val="00E62966"/>
    <w:rsid w:val="00E6316F"/>
    <w:rsid w:val="00E64002"/>
    <w:rsid w:val="00E64F8E"/>
    <w:rsid w:val="00E664A2"/>
    <w:rsid w:val="00E715C9"/>
    <w:rsid w:val="00E726C1"/>
    <w:rsid w:val="00E7378B"/>
    <w:rsid w:val="00E73B58"/>
    <w:rsid w:val="00E75D8E"/>
    <w:rsid w:val="00E76CD0"/>
    <w:rsid w:val="00E7704A"/>
    <w:rsid w:val="00E77942"/>
    <w:rsid w:val="00E83C44"/>
    <w:rsid w:val="00E84E0C"/>
    <w:rsid w:val="00E85CAA"/>
    <w:rsid w:val="00E867E1"/>
    <w:rsid w:val="00E86989"/>
    <w:rsid w:val="00E86BA5"/>
    <w:rsid w:val="00E86FD5"/>
    <w:rsid w:val="00E87A07"/>
    <w:rsid w:val="00E903C7"/>
    <w:rsid w:val="00E90603"/>
    <w:rsid w:val="00E90C16"/>
    <w:rsid w:val="00E91929"/>
    <w:rsid w:val="00E92E10"/>
    <w:rsid w:val="00E95984"/>
    <w:rsid w:val="00E95CDF"/>
    <w:rsid w:val="00E95D96"/>
    <w:rsid w:val="00E95DEB"/>
    <w:rsid w:val="00E965BD"/>
    <w:rsid w:val="00E9686E"/>
    <w:rsid w:val="00EA1F71"/>
    <w:rsid w:val="00EA27AA"/>
    <w:rsid w:val="00EA2BFC"/>
    <w:rsid w:val="00EA3635"/>
    <w:rsid w:val="00EA3C47"/>
    <w:rsid w:val="00EA4995"/>
    <w:rsid w:val="00EA4FFA"/>
    <w:rsid w:val="00EA66EE"/>
    <w:rsid w:val="00EB21F7"/>
    <w:rsid w:val="00EB369E"/>
    <w:rsid w:val="00EB3ACB"/>
    <w:rsid w:val="00EB416E"/>
    <w:rsid w:val="00EB4688"/>
    <w:rsid w:val="00EB505E"/>
    <w:rsid w:val="00EB5084"/>
    <w:rsid w:val="00EB5A9F"/>
    <w:rsid w:val="00EB6F2E"/>
    <w:rsid w:val="00EB75F5"/>
    <w:rsid w:val="00EB7A80"/>
    <w:rsid w:val="00EB7ED5"/>
    <w:rsid w:val="00EB7F9A"/>
    <w:rsid w:val="00EC005E"/>
    <w:rsid w:val="00EC095E"/>
    <w:rsid w:val="00EC184E"/>
    <w:rsid w:val="00EC1B91"/>
    <w:rsid w:val="00EC2350"/>
    <w:rsid w:val="00EC47A2"/>
    <w:rsid w:val="00EC7152"/>
    <w:rsid w:val="00ED03D3"/>
    <w:rsid w:val="00ED0810"/>
    <w:rsid w:val="00ED0ADF"/>
    <w:rsid w:val="00ED2468"/>
    <w:rsid w:val="00ED3377"/>
    <w:rsid w:val="00ED39C1"/>
    <w:rsid w:val="00ED3CF1"/>
    <w:rsid w:val="00ED4877"/>
    <w:rsid w:val="00ED53A5"/>
    <w:rsid w:val="00EE2483"/>
    <w:rsid w:val="00EE5113"/>
    <w:rsid w:val="00EE540B"/>
    <w:rsid w:val="00EE5630"/>
    <w:rsid w:val="00EE5855"/>
    <w:rsid w:val="00EE689B"/>
    <w:rsid w:val="00EF04A0"/>
    <w:rsid w:val="00EF068E"/>
    <w:rsid w:val="00EF0773"/>
    <w:rsid w:val="00EF0D6B"/>
    <w:rsid w:val="00EF1649"/>
    <w:rsid w:val="00EF1E0D"/>
    <w:rsid w:val="00EF2211"/>
    <w:rsid w:val="00EF24C4"/>
    <w:rsid w:val="00EF3E32"/>
    <w:rsid w:val="00EF3EA6"/>
    <w:rsid w:val="00EF5A0A"/>
    <w:rsid w:val="00EF6845"/>
    <w:rsid w:val="00EF6BAF"/>
    <w:rsid w:val="00EF7ECC"/>
    <w:rsid w:val="00F00002"/>
    <w:rsid w:val="00F01D3F"/>
    <w:rsid w:val="00F02669"/>
    <w:rsid w:val="00F02C8A"/>
    <w:rsid w:val="00F055BF"/>
    <w:rsid w:val="00F079CD"/>
    <w:rsid w:val="00F07CE9"/>
    <w:rsid w:val="00F100FA"/>
    <w:rsid w:val="00F10245"/>
    <w:rsid w:val="00F12125"/>
    <w:rsid w:val="00F125D4"/>
    <w:rsid w:val="00F13153"/>
    <w:rsid w:val="00F13B4B"/>
    <w:rsid w:val="00F145F1"/>
    <w:rsid w:val="00F157C6"/>
    <w:rsid w:val="00F15A36"/>
    <w:rsid w:val="00F16E22"/>
    <w:rsid w:val="00F23557"/>
    <w:rsid w:val="00F24146"/>
    <w:rsid w:val="00F249ED"/>
    <w:rsid w:val="00F24E76"/>
    <w:rsid w:val="00F25179"/>
    <w:rsid w:val="00F25604"/>
    <w:rsid w:val="00F25A42"/>
    <w:rsid w:val="00F261FC"/>
    <w:rsid w:val="00F262B2"/>
    <w:rsid w:val="00F278D4"/>
    <w:rsid w:val="00F30670"/>
    <w:rsid w:val="00F30D70"/>
    <w:rsid w:val="00F31A6C"/>
    <w:rsid w:val="00F31BC4"/>
    <w:rsid w:val="00F32A5B"/>
    <w:rsid w:val="00F32F7A"/>
    <w:rsid w:val="00F33865"/>
    <w:rsid w:val="00F34886"/>
    <w:rsid w:val="00F366B8"/>
    <w:rsid w:val="00F40393"/>
    <w:rsid w:val="00F416C4"/>
    <w:rsid w:val="00F4221A"/>
    <w:rsid w:val="00F432EE"/>
    <w:rsid w:val="00F43A7B"/>
    <w:rsid w:val="00F449A7"/>
    <w:rsid w:val="00F44D97"/>
    <w:rsid w:val="00F456DF"/>
    <w:rsid w:val="00F45CD8"/>
    <w:rsid w:val="00F45CDF"/>
    <w:rsid w:val="00F467C9"/>
    <w:rsid w:val="00F46DFB"/>
    <w:rsid w:val="00F478FA"/>
    <w:rsid w:val="00F50746"/>
    <w:rsid w:val="00F51097"/>
    <w:rsid w:val="00F51188"/>
    <w:rsid w:val="00F513E9"/>
    <w:rsid w:val="00F56376"/>
    <w:rsid w:val="00F56502"/>
    <w:rsid w:val="00F565EC"/>
    <w:rsid w:val="00F57227"/>
    <w:rsid w:val="00F5752C"/>
    <w:rsid w:val="00F57B9E"/>
    <w:rsid w:val="00F61469"/>
    <w:rsid w:val="00F618A3"/>
    <w:rsid w:val="00F62327"/>
    <w:rsid w:val="00F62837"/>
    <w:rsid w:val="00F62896"/>
    <w:rsid w:val="00F638DF"/>
    <w:rsid w:val="00F64633"/>
    <w:rsid w:val="00F65DEC"/>
    <w:rsid w:val="00F678FD"/>
    <w:rsid w:val="00F70076"/>
    <w:rsid w:val="00F7037E"/>
    <w:rsid w:val="00F707FC"/>
    <w:rsid w:val="00F7225B"/>
    <w:rsid w:val="00F7270B"/>
    <w:rsid w:val="00F72DF4"/>
    <w:rsid w:val="00F73E4A"/>
    <w:rsid w:val="00F77960"/>
    <w:rsid w:val="00F77A3A"/>
    <w:rsid w:val="00F80BF0"/>
    <w:rsid w:val="00F80DAF"/>
    <w:rsid w:val="00F82B76"/>
    <w:rsid w:val="00F83EDA"/>
    <w:rsid w:val="00F840D5"/>
    <w:rsid w:val="00F846AC"/>
    <w:rsid w:val="00F84C7B"/>
    <w:rsid w:val="00F862CE"/>
    <w:rsid w:val="00F86410"/>
    <w:rsid w:val="00F9022B"/>
    <w:rsid w:val="00F91788"/>
    <w:rsid w:val="00F91880"/>
    <w:rsid w:val="00F92E6B"/>
    <w:rsid w:val="00F93854"/>
    <w:rsid w:val="00F93D85"/>
    <w:rsid w:val="00F9439D"/>
    <w:rsid w:val="00F9440E"/>
    <w:rsid w:val="00F94CED"/>
    <w:rsid w:val="00F9515B"/>
    <w:rsid w:val="00F9569D"/>
    <w:rsid w:val="00F977D3"/>
    <w:rsid w:val="00F97998"/>
    <w:rsid w:val="00FA0377"/>
    <w:rsid w:val="00FA0702"/>
    <w:rsid w:val="00FA08B9"/>
    <w:rsid w:val="00FA37DC"/>
    <w:rsid w:val="00FA44EC"/>
    <w:rsid w:val="00FA7DD8"/>
    <w:rsid w:val="00FB0F0F"/>
    <w:rsid w:val="00FB0FFD"/>
    <w:rsid w:val="00FB1517"/>
    <w:rsid w:val="00FB1B84"/>
    <w:rsid w:val="00FB20CA"/>
    <w:rsid w:val="00FB27E7"/>
    <w:rsid w:val="00FB3BE8"/>
    <w:rsid w:val="00FB4407"/>
    <w:rsid w:val="00FB44B6"/>
    <w:rsid w:val="00FB4666"/>
    <w:rsid w:val="00FB5599"/>
    <w:rsid w:val="00FB7776"/>
    <w:rsid w:val="00FB78E4"/>
    <w:rsid w:val="00FB7ED3"/>
    <w:rsid w:val="00FC07C2"/>
    <w:rsid w:val="00FC23E8"/>
    <w:rsid w:val="00FC2A57"/>
    <w:rsid w:val="00FC3209"/>
    <w:rsid w:val="00FC365C"/>
    <w:rsid w:val="00FC3DC4"/>
    <w:rsid w:val="00FC5342"/>
    <w:rsid w:val="00FC6F5D"/>
    <w:rsid w:val="00FD0264"/>
    <w:rsid w:val="00FD0514"/>
    <w:rsid w:val="00FD0C06"/>
    <w:rsid w:val="00FD1A7A"/>
    <w:rsid w:val="00FD283D"/>
    <w:rsid w:val="00FD3A6B"/>
    <w:rsid w:val="00FD44A4"/>
    <w:rsid w:val="00FD4999"/>
    <w:rsid w:val="00FD5EFF"/>
    <w:rsid w:val="00FD60CB"/>
    <w:rsid w:val="00FE0C20"/>
    <w:rsid w:val="00FE0CDD"/>
    <w:rsid w:val="00FE0DDF"/>
    <w:rsid w:val="00FE1DB5"/>
    <w:rsid w:val="00FE2AE5"/>
    <w:rsid w:val="00FE2C19"/>
    <w:rsid w:val="00FE3134"/>
    <w:rsid w:val="00FE31B5"/>
    <w:rsid w:val="00FE3A79"/>
    <w:rsid w:val="00FE3E95"/>
    <w:rsid w:val="00FE4098"/>
    <w:rsid w:val="00FE4914"/>
    <w:rsid w:val="00FE5425"/>
    <w:rsid w:val="00FE5573"/>
    <w:rsid w:val="00FF0067"/>
    <w:rsid w:val="00FF0224"/>
    <w:rsid w:val="00FF0613"/>
    <w:rsid w:val="00FF0B55"/>
    <w:rsid w:val="00FF16B9"/>
    <w:rsid w:val="00FF1DEA"/>
    <w:rsid w:val="00FF335D"/>
    <w:rsid w:val="00FF6457"/>
    <w:rsid w:val="00FF67BE"/>
    <w:rsid w:val="04F17310"/>
    <w:rsid w:val="0AD786CA"/>
    <w:rsid w:val="0CAAD11B"/>
    <w:rsid w:val="0FFDDCA1"/>
    <w:rsid w:val="17DF99D4"/>
    <w:rsid w:val="17FF2A07"/>
    <w:rsid w:val="1CEC65D1"/>
    <w:rsid w:val="1EBF9484"/>
    <w:rsid w:val="1FCF8378"/>
    <w:rsid w:val="1FEE0826"/>
    <w:rsid w:val="239CA800"/>
    <w:rsid w:val="27BD61B5"/>
    <w:rsid w:val="2BFD2626"/>
    <w:rsid w:val="2BFDB5D9"/>
    <w:rsid w:val="2DFEFD20"/>
    <w:rsid w:val="2E7F2B90"/>
    <w:rsid w:val="2EAC48E8"/>
    <w:rsid w:val="2FF7D272"/>
    <w:rsid w:val="2FFB0091"/>
    <w:rsid w:val="343E18C1"/>
    <w:rsid w:val="35668CB7"/>
    <w:rsid w:val="35BEE45A"/>
    <w:rsid w:val="35F3BA7C"/>
    <w:rsid w:val="36ABF020"/>
    <w:rsid w:val="36DBDE3D"/>
    <w:rsid w:val="37DDD5F0"/>
    <w:rsid w:val="37E76435"/>
    <w:rsid w:val="39F7EEDB"/>
    <w:rsid w:val="3A7BD48F"/>
    <w:rsid w:val="3ADC55A8"/>
    <w:rsid w:val="3AEB3749"/>
    <w:rsid w:val="3AF7C524"/>
    <w:rsid w:val="3DD7229E"/>
    <w:rsid w:val="3DF7B30B"/>
    <w:rsid w:val="3DFD308B"/>
    <w:rsid w:val="3E7F5D48"/>
    <w:rsid w:val="3EEF12E3"/>
    <w:rsid w:val="3EFF2051"/>
    <w:rsid w:val="3F7FE351"/>
    <w:rsid w:val="3FAFC748"/>
    <w:rsid w:val="3FBF0EDF"/>
    <w:rsid w:val="3FBF346D"/>
    <w:rsid w:val="3FCC84E0"/>
    <w:rsid w:val="3FFFE488"/>
    <w:rsid w:val="43FE88AD"/>
    <w:rsid w:val="45D90F7E"/>
    <w:rsid w:val="45DBF077"/>
    <w:rsid w:val="4AAF047E"/>
    <w:rsid w:val="4AB77509"/>
    <w:rsid w:val="4FB56C81"/>
    <w:rsid w:val="4FF79765"/>
    <w:rsid w:val="4FFCFE26"/>
    <w:rsid w:val="51FED7AB"/>
    <w:rsid w:val="54DB1BB6"/>
    <w:rsid w:val="55DF5099"/>
    <w:rsid w:val="575FC61F"/>
    <w:rsid w:val="57FE2679"/>
    <w:rsid w:val="57FFD4AE"/>
    <w:rsid w:val="58790B71"/>
    <w:rsid w:val="59FF724B"/>
    <w:rsid w:val="5AF90CC9"/>
    <w:rsid w:val="5AFE4DB7"/>
    <w:rsid w:val="5B7D4733"/>
    <w:rsid w:val="5B7EA650"/>
    <w:rsid w:val="5BC01004"/>
    <w:rsid w:val="5BD462C2"/>
    <w:rsid w:val="5D8B8C78"/>
    <w:rsid w:val="5DD3D8FC"/>
    <w:rsid w:val="5DEE4274"/>
    <w:rsid w:val="5DFCCAB3"/>
    <w:rsid w:val="5E2FAA28"/>
    <w:rsid w:val="5E8F39A5"/>
    <w:rsid w:val="5E9151C3"/>
    <w:rsid w:val="5EE7A284"/>
    <w:rsid w:val="5EFA7CCD"/>
    <w:rsid w:val="5F3ECCF0"/>
    <w:rsid w:val="5F7792DD"/>
    <w:rsid w:val="5FDE9AA5"/>
    <w:rsid w:val="5FDEA41E"/>
    <w:rsid w:val="5FE7E1C6"/>
    <w:rsid w:val="5FF533E7"/>
    <w:rsid w:val="5FF64EE4"/>
    <w:rsid w:val="5FF6F011"/>
    <w:rsid w:val="5FF6F9A3"/>
    <w:rsid w:val="5FFD943A"/>
    <w:rsid w:val="5FFFA274"/>
    <w:rsid w:val="62EFF980"/>
    <w:rsid w:val="63676EFF"/>
    <w:rsid w:val="63BFD95A"/>
    <w:rsid w:val="6576E7BF"/>
    <w:rsid w:val="65FBF4AF"/>
    <w:rsid w:val="65FD8EAD"/>
    <w:rsid w:val="65FF0E7E"/>
    <w:rsid w:val="672BEFC6"/>
    <w:rsid w:val="67BE0F7D"/>
    <w:rsid w:val="6B345EF3"/>
    <w:rsid w:val="6B796197"/>
    <w:rsid w:val="6BC0765B"/>
    <w:rsid w:val="6BF6D206"/>
    <w:rsid w:val="6DBE8412"/>
    <w:rsid w:val="6DD68AB4"/>
    <w:rsid w:val="6DFFB0E5"/>
    <w:rsid w:val="6EBFA6EB"/>
    <w:rsid w:val="6EF4FC44"/>
    <w:rsid w:val="6EFF080B"/>
    <w:rsid w:val="6EFF5A89"/>
    <w:rsid w:val="6F33C258"/>
    <w:rsid w:val="6F6BE494"/>
    <w:rsid w:val="6F6F2958"/>
    <w:rsid w:val="6F7E0C06"/>
    <w:rsid w:val="6FAF5F77"/>
    <w:rsid w:val="6FB76483"/>
    <w:rsid w:val="6FBB27F8"/>
    <w:rsid w:val="6FBCC9AA"/>
    <w:rsid w:val="6FBF9DEC"/>
    <w:rsid w:val="6FDF325B"/>
    <w:rsid w:val="6FEFDF62"/>
    <w:rsid w:val="6FFC82BB"/>
    <w:rsid w:val="6FFD0844"/>
    <w:rsid w:val="6FFD8266"/>
    <w:rsid w:val="6FFE9746"/>
    <w:rsid w:val="6FFF438D"/>
    <w:rsid w:val="70EF2849"/>
    <w:rsid w:val="71BF82DB"/>
    <w:rsid w:val="71FF96D8"/>
    <w:rsid w:val="725B4EB3"/>
    <w:rsid w:val="736F7FD2"/>
    <w:rsid w:val="73AA9F7E"/>
    <w:rsid w:val="73BD2702"/>
    <w:rsid w:val="73FE30B6"/>
    <w:rsid w:val="757DE146"/>
    <w:rsid w:val="75ED5D32"/>
    <w:rsid w:val="75F1B048"/>
    <w:rsid w:val="75FE7CCF"/>
    <w:rsid w:val="75FF43AD"/>
    <w:rsid w:val="766511A8"/>
    <w:rsid w:val="769F2861"/>
    <w:rsid w:val="76B3C580"/>
    <w:rsid w:val="76BD8C83"/>
    <w:rsid w:val="76D737B8"/>
    <w:rsid w:val="76EB15E8"/>
    <w:rsid w:val="773F4B68"/>
    <w:rsid w:val="773F7DE0"/>
    <w:rsid w:val="77674E59"/>
    <w:rsid w:val="7767692A"/>
    <w:rsid w:val="77B77915"/>
    <w:rsid w:val="77DFFDE1"/>
    <w:rsid w:val="77EBEAA1"/>
    <w:rsid w:val="77FB8F22"/>
    <w:rsid w:val="787F15E8"/>
    <w:rsid w:val="793D88BB"/>
    <w:rsid w:val="799F04BB"/>
    <w:rsid w:val="7AFDDC0D"/>
    <w:rsid w:val="7B570327"/>
    <w:rsid w:val="7B6DDBFB"/>
    <w:rsid w:val="7B7DF699"/>
    <w:rsid w:val="7BAC9694"/>
    <w:rsid w:val="7BB4B792"/>
    <w:rsid w:val="7BEA1369"/>
    <w:rsid w:val="7BEE270D"/>
    <w:rsid w:val="7BF86BFC"/>
    <w:rsid w:val="7BFE7C5F"/>
    <w:rsid w:val="7BFFEFD3"/>
    <w:rsid w:val="7CA3E458"/>
    <w:rsid w:val="7CBD2A53"/>
    <w:rsid w:val="7CBE0C45"/>
    <w:rsid w:val="7D6DFE5C"/>
    <w:rsid w:val="7D7FE1B0"/>
    <w:rsid w:val="7DDF267C"/>
    <w:rsid w:val="7DEB5286"/>
    <w:rsid w:val="7E37AE6C"/>
    <w:rsid w:val="7EDF3DDC"/>
    <w:rsid w:val="7EDFF463"/>
    <w:rsid w:val="7EFCF10B"/>
    <w:rsid w:val="7F3E0823"/>
    <w:rsid w:val="7F575C3E"/>
    <w:rsid w:val="7F5F5396"/>
    <w:rsid w:val="7F6737EF"/>
    <w:rsid w:val="7F760924"/>
    <w:rsid w:val="7F7B74BB"/>
    <w:rsid w:val="7F7D58EC"/>
    <w:rsid w:val="7F7DA853"/>
    <w:rsid w:val="7F8E6DC0"/>
    <w:rsid w:val="7F937884"/>
    <w:rsid w:val="7FAB4984"/>
    <w:rsid w:val="7FADBA65"/>
    <w:rsid w:val="7FAFDAE9"/>
    <w:rsid w:val="7FBBB97B"/>
    <w:rsid w:val="7FBD4C94"/>
    <w:rsid w:val="7FEEE00F"/>
    <w:rsid w:val="7FEF0765"/>
    <w:rsid w:val="7FF7577B"/>
    <w:rsid w:val="7FFD3308"/>
    <w:rsid w:val="7FFD5973"/>
    <w:rsid w:val="7FFF27B0"/>
    <w:rsid w:val="7FFF9D4C"/>
    <w:rsid w:val="857F23FE"/>
    <w:rsid w:val="8B7B3CC5"/>
    <w:rsid w:val="8DF5CCD3"/>
    <w:rsid w:val="92FF6E75"/>
    <w:rsid w:val="9D4B5CFF"/>
    <w:rsid w:val="9FE77663"/>
    <w:rsid w:val="9FEF5F8B"/>
    <w:rsid w:val="A9ED65D5"/>
    <w:rsid w:val="AF551054"/>
    <w:rsid w:val="AF67DF5E"/>
    <w:rsid w:val="AFF3E791"/>
    <w:rsid w:val="AFFB2195"/>
    <w:rsid w:val="AFFB5F50"/>
    <w:rsid w:val="AFFFB483"/>
    <w:rsid w:val="B3CFA609"/>
    <w:rsid w:val="B55F0953"/>
    <w:rsid w:val="B79D0369"/>
    <w:rsid w:val="B7E63EB2"/>
    <w:rsid w:val="B7FE96EE"/>
    <w:rsid w:val="B8FFE1A2"/>
    <w:rsid w:val="B9EAADBA"/>
    <w:rsid w:val="BA7B23C6"/>
    <w:rsid w:val="BB775BEC"/>
    <w:rsid w:val="BBF7F7D5"/>
    <w:rsid w:val="BCAF1D55"/>
    <w:rsid w:val="BCDFA4AB"/>
    <w:rsid w:val="BDB11443"/>
    <w:rsid w:val="BDC7193F"/>
    <w:rsid w:val="BDDFCCE6"/>
    <w:rsid w:val="BDFDD253"/>
    <w:rsid w:val="BDFFFC29"/>
    <w:rsid w:val="BE7F83D5"/>
    <w:rsid w:val="BF7F4643"/>
    <w:rsid w:val="BFBE6B6A"/>
    <w:rsid w:val="BFDFFEB4"/>
    <w:rsid w:val="BFE15218"/>
    <w:rsid w:val="C55F52E8"/>
    <w:rsid w:val="C77FF483"/>
    <w:rsid w:val="C7FE38B1"/>
    <w:rsid w:val="C9D76A85"/>
    <w:rsid w:val="CDB39144"/>
    <w:rsid w:val="CF3F193A"/>
    <w:rsid w:val="CF5EBDE4"/>
    <w:rsid w:val="CFFEA248"/>
    <w:rsid w:val="CFFF7263"/>
    <w:rsid w:val="D1EED1B0"/>
    <w:rsid w:val="D3E5BD6D"/>
    <w:rsid w:val="D3FBA4C7"/>
    <w:rsid w:val="D4DAF7BE"/>
    <w:rsid w:val="D5BF1502"/>
    <w:rsid w:val="D7E97A02"/>
    <w:rsid w:val="D7EB0A8E"/>
    <w:rsid w:val="D7FF4E55"/>
    <w:rsid w:val="D97F4314"/>
    <w:rsid w:val="D9DF5DBE"/>
    <w:rsid w:val="D9F53493"/>
    <w:rsid w:val="DAA755D8"/>
    <w:rsid w:val="DD5633D1"/>
    <w:rsid w:val="DDFA8C49"/>
    <w:rsid w:val="DEFCF113"/>
    <w:rsid w:val="DFEFD79F"/>
    <w:rsid w:val="DFEFD813"/>
    <w:rsid w:val="DFF7E9E8"/>
    <w:rsid w:val="DFFB44AC"/>
    <w:rsid w:val="DFFBF979"/>
    <w:rsid w:val="DFFF54D5"/>
    <w:rsid w:val="E1D9547F"/>
    <w:rsid w:val="E1FF883D"/>
    <w:rsid w:val="E47FD4E8"/>
    <w:rsid w:val="E51FFC93"/>
    <w:rsid w:val="E7EF29A6"/>
    <w:rsid w:val="E7F3EA5B"/>
    <w:rsid w:val="E7FBB911"/>
    <w:rsid w:val="E84FA2FE"/>
    <w:rsid w:val="E8EE9C2C"/>
    <w:rsid w:val="E9F71EFB"/>
    <w:rsid w:val="E9FAF4FC"/>
    <w:rsid w:val="E9FEC164"/>
    <w:rsid w:val="EAFE9000"/>
    <w:rsid w:val="EB1E24F9"/>
    <w:rsid w:val="EBDEF8F3"/>
    <w:rsid w:val="EBDF431E"/>
    <w:rsid w:val="EBFFF11C"/>
    <w:rsid w:val="ECF9C767"/>
    <w:rsid w:val="ED3F054B"/>
    <w:rsid w:val="EDBD1735"/>
    <w:rsid w:val="EDE8921D"/>
    <w:rsid w:val="EE4D27A4"/>
    <w:rsid w:val="EEBF57CF"/>
    <w:rsid w:val="EF673510"/>
    <w:rsid w:val="EFBFF647"/>
    <w:rsid w:val="EFDE8F3C"/>
    <w:rsid w:val="EFFBFFFD"/>
    <w:rsid w:val="EFFF189F"/>
    <w:rsid w:val="F0F73960"/>
    <w:rsid w:val="F223099B"/>
    <w:rsid w:val="F38D895D"/>
    <w:rsid w:val="F39FDAC9"/>
    <w:rsid w:val="F4BF9B3E"/>
    <w:rsid w:val="F5BFB806"/>
    <w:rsid w:val="F68FAFBF"/>
    <w:rsid w:val="F6B4EA58"/>
    <w:rsid w:val="F71EFD94"/>
    <w:rsid w:val="F73F106B"/>
    <w:rsid w:val="F77592F9"/>
    <w:rsid w:val="F7F3A584"/>
    <w:rsid w:val="F7F491DC"/>
    <w:rsid w:val="F7FF889A"/>
    <w:rsid w:val="F7FFC043"/>
    <w:rsid w:val="F87F3790"/>
    <w:rsid w:val="F99F923B"/>
    <w:rsid w:val="F9DFBEC0"/>
    <w:rsid w:val="F9F3B927"/>
    <w:rsid w:val="FAB7C024"/>
    <w:rsid w:val="FAF789CB"/>
    <w:rsid w:val="FAFE4DDE"/>
    <w:rsid w:val="FB3BD7B7"/>
    <w:rsid w:val="FB3FADFF"/>
    <w:rsid w:val="FB6E079A"/>
    <w:rsid w:val="FB7E255A"/>
    <w:rsid w:val="FBDD4916"/>
    <w:rsid w:val="FBED31A5"/>
    <w:rsid w:val="FBEEA73A"/>
    <w:rsid w:val="FBEF80E6"/>
    <w:rsid w:val="FBF6F3E9"/>
    <w:rsid w:val="FC12B3FC"/>
    <w:rsid w:val="FC7DDDB2"/>
    <w:rsid w:val="FC7FF3CB"/>
    <w:rsid w:val="FCBEC009"/>
    <w:rsid w:val="FCD72604"/>
    <w:rsid w:val="FD7D4397"/>
    <w:rsid w:val="FDB51C34"/>
    <w:rsid w:val="FDFFE9A5"/>
    <w:rsid w:val="FE734873"/>
    <w:rsid w:val="FE7FDC14"/>
    <w:rsid w:val="FEAFB7BD"/>
    <w:rsid w:val="FEBDB2C4"/>
    <w:rsid w:val="FEE711D6"/>
    <w:rsid w:val="FEEDBE65"/>
    <w:rsid w:val="FEF527B5"/>
    <w:rsid w:val="FEFB74B8"/>
    <w:rsid w:val="FF3E4CE3"/>
    <w:rsid w:val="FF7C448B"/>
    <w:rsid w:val="FF9BFCE8"/>
    <w:rsid w:val="FF9FB71D"/>
    <w:rsid w:val="FFBBF9BD"/>
    <w:rsid w:val="FFBEC738"/>
    <w:rsid w:val="FFBF1F45"/>
    <w:rsid w:val="FFBF270B"/>
    <w:rsid w:val="FFC7195A"/>
    <w:rsid w:val="FFD5120B"/>
    <w:rsid w:val="FFF4DA69"/>
    <w:rsid w:val="FFF91D7A"/>
    <w:rsid w:val="FFFDB4B2"/>
    <w:rsid w:val="FFFDDCA5"/>
    <w:rsid w:val="FFFF1737"/>
    <w:rsid w:val="FFFF5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2"/>
    <w:basedOn w:val="1"/>
    <w:next w:val="1"/>
    <w:unhideWhenUsed/>
    <w:qFormat/>
    <w:uiPriority w:val="0"/>
    <w:pPr>
      <w:keepNext/>
      <w:keepLines/>
      <w:spacing w:before="260" w:beforeLines="0" w:after="260" w:afterLines="0" w:line="416" w:lineRule="auto"/>
      <w:outlineLvl w:val="1"/>
    </w:pPr>
    <w:rPr>
      <w:rFonts w:ascii="Calibri Light" w:hAnsi="Calibri Light"/>
      <w:b/>
      <w:bCs/>
      <w:kern w:val="0"/>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Body Text Indent"/>
    <w:basedOn w:val="1"/>
    <w:next w:val="5"/>
    <w:unhideWhenUsed/>
    <w:qFormat/>
    <w:uiPriority w:val="99"/>
    <w:pPr>
      <w:widowControl/>
      <w:spacing w:after="120"/>
      <w:ind w:left="420" w:leftChars="200"/>
      <w:jc w:val="left"/>
    </w:pPr>
    <w:rPr>
      <w:rFonts w:ascii="宋体" w:hAnsi="宋体" w:eastAsia="宋体" w:cs="宋体"/>
      <w:kern w:val="0"/>
      <w:sz w:val="24"/>
    </w:rPr>
  </w:style>
  <w:style w:type="paragraph" w:styleId="5">
    <w:name w:val="Body Text First Indent 2"/>
    <w:basedOn w:val="4"/>
    <w:next w:val="1"/>
    <w:unhideWhenUsed/>
    <w:qFormat/>
    <w:uiPriority w:val="99"/>
    <w:pPr>
      <w:ind w:firstLine="420" w:firstLineChars="200"/>
    </w:pPr>
  </w:style>
  <w:style w:type="paragraph" w:styleId="6">
    <w:name w:val="Plain Text"/>
    <w:basedOn w:val="1"/>
    <w:qFormat/>
    <w:uiPriority w:val="0"/>
    <w:rPr>
      <w:rFonts w:ascii="宋体" w:hAnsi="Courier New" w:cs="Courier New"/>
      <w:szCs w:val="21"/>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footnote text"/>
    <w:basedOn w:val="1"/>
    <w:next w:val="5"/>
    <w:qFormat/>
    <w:uiPriority w:val="0"/>
    <w:pPr>
      <w:snapToGrid w:val="0"/>
    </w:pPr>
    <w:rPr>
      <w:rFonts w:ascii="Calibri" w:hAnsi="Times New Roman" w:cs="Times New Roman"/>
      <w:sz w:val="18"/>
      <w:szCs w:val="18"/>
    </w:rPr>
  </w:style>
  <w:style w:type="character" w:styleId="12">
    <w:name w:val="page number"/>
    <w:basedOn w:val="11"/>
    <w:qFormat/>
    <w:uiPriority w:val="0"/>
  </w:style>
  <w:style w:type="character" w:styleId="13">
    <w:name w:val="Hyperlink"/>
    <w:basedOn w:val="11"/>
    <w:unhideWhenUsed/>
    <w:qFormat/>
    <w:uiPriority w:val="99"/>
    <w:rPr>
      <w:color w:val="0000FF" w:themeColor="hyperlink"/>
      <w:u w:val="single"/>
      <w14:textFill>
        <w14:solidFill>
          <w14:schemeClr w14:val="hlink"/>
        </w14:solidFill>
      </w14:textFill>
    </w:rPr>
  </w:style>
  <w:style w:type="character" w:customStyle="1" w:styleId="14">
    <w:name w:val="页眉 Char"/>
    <w:basedOn w:val="11"/>
    <w:link w:val="8"/>
    <w:qFormat/>
    <w:uiPriority w:val="99"/>
    <w:rPr>
      <w:rFonts w:ascii="Times New Roman" w:hAnsi="Times New Roman" w:eastAsia="宋体" w:cs="Times New Roman"/>
      <w:sz w:val="18"/>
      <w:szCs w:val="18"/>
    </w:rPr>
  </w:style>
  <w:style w:type="character" w:customStyle="1" w:styleId="15">
    <w:name w:val="页脚 Char"/>
    <w:basedOn w:val="11"/>
    <w:link w:val="7"/>
    <w:qFormat/>
    <w:uiPriority w:val="99"/>
    <w:rPr>
      <w:rFonts w:ascii="Times New Roman" w:hAnsi="Times New Roman" w:eastAsia="宋体" w:cs="Times New Roman"/>
      <w:sz w:val="18"/>
      <w:szCs w:val="18"/>
    </w:rPr>
  </w:style>
  <w:style w:type="character" w:customStyle="1" w:styleId="16">
    <w:name w:val="normalclass1"/>
    <w:basedOn w:val="11"/>
    <w:qFormat/>
    <w:uiPriority w:val="0"/>
  </w:style>
  <w:style w:type="paragraph" w:customStyle="1" w:styleId="17">
    <w:name w:val="Char2"/>
    <w:basedOn w:val="1"/>
    <w:semiHidden/>
    <w:qFormat/>
    <w:uiPriority w:val="0"/>
    <w:pPr>
      <w:spacing w:line="360" w:lineRule="auto"/>
    </w:pPr>
    <w:rPr>
      <w:rFonts w:ascii="Tahoma" w:hAnsi="Tahoma"/>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Www.SangSan.Cn</Company>
  <Pages>2</Pages>
  <Words>13</Words>
  <Characters>77</Characters>
  <Lines>1</Lines>
  <Paragraphs>1</Paragraphs>
  <TotalTime>1</TotalTime>
  <ScaleCrop>false</ScaleCrop>
  <LinksUpToDate>false</LinksUpToDate>
  <CharactersWithSpaces>89</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2023-01-27T10:45:00Z</dcterms:created>
  <dc:creator>xbany</dc:creator>
  <cp:lastModifiedBy>trust</cp:lastModifiedBy>
  <cp:lastPrinted>2026-04-24T01:12:00Z</cp:lastPrinted>
  <dcterms:modified xsi:type="dcterms:W3CDTF">2026-07-01T08:54:36Z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2B0985C018764B628D407AA69AFC006B</vt:lpwstr>
  </property>
</Properties>
</file>